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pStyle w:val="Heading1"/>
        <w:jc w:val="center"/>
      </w:pPr>
      <w:r>
        <w:rPr>
          <w:sz w:val="24"/>
          <w:szCs w:val="24"/>
          <w:b w:val="1"/>
          <w:bCs w:val="1"/>
        </w:rPr>
        <w:t xml:space="preserve">Mengelola kanker yang resisten terhadap obat: Darwin datang menolong?</w:t>
      </w:r>
    </w:p>
    <w:p>
      <w:pPr>
        <w:jc w:val="both"/>
      </w:pPr>
      <w:r>
        <w:rPr/>
        <w:t xml:space="preserve">Sebagian besar kematian akibat kanker terjadi karena sel kanker menjadi resisten terhadap obat-obatan. Terapi adaptif dapat mengatasi hal itu.</w:t>
      </w:r>
    </w:p>
    <w:p>
      <w:pPr/>
      <w:r>
        <w:pict>
          <v:shape type="#_x0000_t75" stroked="f" style="width:600px; height:400px; margin-left:0px; margin-top:0px; mso-position-horizontal:left; mso-position-vertical:top; mso-position-horizontal-relative:char; mso-position-vertical-relative:line;">
            <w10:wrap type="inline"/>
            <v:imagedata r:id="rId7" o:title=""/>
          </v:shape>
        </w:pict>
      </w:r>
    </w:p>
    <w:p>
      <w:pPr>
        <w:jc w:val="center"/>
      </w:pPr>
      <w:r>
        <w:rPr>
          <w:sz w:val="18"/>
          <w:szCs w:val="18"/>
        </w:rPr>
        <w:t xml:space="preserve">Seorang gadis muda yang menderita kanker sedang menjalani kemoterapi. Terapi kanker konvensional bergantung pada "dosis maksimum yang dapat ditoleransi" — dosis obat terkuat yang dapat ditahan oleh pasien. Foto: National Cancer Institute via Unsplash.</w:t>
      </w:r>
    </w:p>
    <w:tbl>
      <w:tblGrid>
        <w:gridCol w:w="2350" w:type="dxa"/>
        <w:gridCol w:w="300" w:type="dxa"/>
        <w:gridCol w:w="2350" w:type="dxa"/>
      </w:tblGrid>
      <w:tblPr>
        <w:tblW w:w="5000" w:type="pct"/>
        <w:tblLayout w:type="autofit"/>
      </w:tblPr>
      <w:tr>
        <w:trPr/>
        <w:tc>
          <w:tcPr>
            <w:tcW w:w="2350" w:type="pct"/>
            <w:tcMar>
              <w:bottom w:w="0" w:type="dxa"/>
            </w:tcMar>
            <w:noWrap/>
          </w:tcPr>
          <w:p>
            <w:pPr/>
            <w:r>
              <w:rPr>
                <w:b w:val="1"/>
                <w:bCs w:val="1"/>
              </w:rPr>
              <w:t xml:space="preserve">Oleh: </w:t>
            </w:r>
          </w:p>
        </w:tc>
        <w:tc>
          <w:tcPr>
            <w:tcW w:w="300" w:type="pct"/>
            <w:tcMar>
              <w:bottom w:w="0" w:type="dxa"/>
            </w:tcMar>
            <w:noWrap/>
          </w:tcPr>
          <w:p>
            <w:pPr/>
          </w:p>
        </w:tc>
        <w:tc>
          <w:tcPr>
            <w:tcW w:w="2350" w:type="pct"/>
            <w:tcMar>
              <w:bottom w:w="0" w:type="dxa"/>
            </w:tcMar>
            <w:noWrap/>
          </w:tcPr>
          <w:p>
            <w:pPr/>
            <w:r>
              <w:rPr>
                <w:b w:val="1"/>
                <w:bCs w:val="1"/>
              </w:rPr>
              <w:t xml:space="preserve">Editor: </w:t>
            </w:r>
          </w:p>
        </w:tc>
      </w:tr>
      <w:tr>
        <w:trPr/>
        <w:tc>
          <w:tcPr>
            <w:tcW w:w="2350" w:type="pct"/>
            <w:tcMar>
              <w:bottom w:w="0" w:type="dxa"/>
            </w:tcMar>
            <w:noWrap/>
          </w:tcPr>
          <w:p>
            <w:pPr/>
            <w:r>
              <w:rPr/>
              <w:t xml:space="preserve">Anindita Chakrabarty, Shiv Nadar University  -</w:t>
            </w:r>
          </w:p>
        </w:tc>
        <w:tc>
          <w:tcPr>
            <w:tcW w:w="300" w:type="pct"/>
            <w:tcMar>
              <w:bottom w:w="0" w:type="dxa"/>
            </w:tcMar>
            <w:noWrap/>
          </w:tcPr>
          <w:p>
            <w:pPr/>
          </w:p>
        </w:tc>
        <w:tc>
          <w:tcPr>
            <w:tcW w:w="2350" w:type="pct"/>
            <w:tcMar>
              <w:bottom w:w="0" w:type="dxa"/>
            </w:tcMar>
            <w:noWrap/>
          </w:tcPr>
          <w:p>
            <w:pPr/>
            <w:r>
              <w:rPr/>
              <w:t xml:space="preserve"> Samrat Choudhury, Commissioning Editor, 360info  -  Namita Kohli, Commissioning Editor, 360info  -</w:t>
            </w:r>
          </w:p>
        </w:tc>
      </w:tr>
    </w:tbl>
    <w:p/>
    <w:p>
      <w:pPr/>
      <w:r>
        <w:rPr/>
        <w:t xml:space="preserve">Sebagian besar kematian akibat kanker terjadi karena sel kanker menjadi resisten terhadap obat-obatan. Terapi adaptif dapat mengatasi hal itu.</w:t>
      </w:r>
    </w:p>
    <w:p>
      <w:pPr/>
      <w:r>
        <w:rPr/>
        <w:t xml:space="preserve"> </w:t>
      </w:r>
    </w:p>
    <w:p>
      <w:pPr/>
      <w:hyperlink r:id="rId8" w:history="1">
        <w:r>
          <w:rPr/>
          <w:t xml:space="preserve">Resistensi antimikroba</w:t>
        </w:r>
      </w:hyperlink>
      <w:r>
        <w:rPr/>
        <w:t xml:space="preserve"> merupakan ancaman kesehatan serius yang menewaskan lebih dari satu juta orang setiap tahun. Namun, kanker—sebuah penyakit tidak menular—menyebabkan tantangan yang jauh lebih besar bagi kesehatan publik global dengan menewaskan </w:t>
      </w:r>
      <w:hyperlink r:id="rId9" w:history="1">
        <w:r>
          <w:rPr/>
          <w:t xml:space="preserve">sepuluh kali lipat lebih banyak orang</w:t>
        </w:r>
      </w:hyperlink>
      <w:r>
        <w:rPr/>
        <w:t xml:space="preserve">. Sebagian besar kematian akibat kanker disebabkan oleh resistensi terhadap terapi antikanker, fenomena yang mirip dengan kematian yang terkait dengan resistensi antimikroba.</w:t>
      </w:r>
    </w:p>
    <w:p>
      <w:pPr/>
      <w:r>
        <w:rPr/>
        <w:t xml:space="preserve">Pergeseran perspektif dalam cara penyakit ini ditangani, berdasarkan teori evolusi, dapat mengubah hal tersebut.</w:t>
      </w:r>
    </w:p>
    <w:p>
      <w:pPr/>
      <w:r>
        <w:rPr/>
        <w:t xml:space="preserve">Setiap tahun, lebih dari 40 juta orang meninggal akibat penyakit tidak menular. Kanker adalah penyebab kematian kedua akibat penyakit tidak menular setelah penyakit jantung. Sekitar 20 juta orang di seluruh dunia didiagnosis menderita kanker setiap tahun. Setengah dari mereka akan meninggal karenanya. Angka-angka ini mengkhawatirkan: satu dari lima orang akan menghadapi diagnosis kanker selama hidupnya, dan satu dari sembilan pria serta satu dari dua belas wanita akan meninggal karenanya, berdasarkan perkiraan dari </w:t>
      </w:r>
      <w:hyperlink r:id="rId10" w:history="1">
        <w:r>
          <w:rPr/>
          <w:t xml:space="preserve">Global Cancer Statistics 2020</w:t>
        </w:r>
      </w:hyperlink>
      <w:r>
        <w:rPr/>
        <w:t xml:space="preserve">. </w:t>
      </w:r>
    </w:p>
    <w:p>
      <w:pPr/>
      <w:r>
        <w:rPr/>
        <w:t xml:space="preserve">Berita baiknya adalah tingkat kelangsungan hidup terus meningkat. Selama empat dekade terakhir, tingkat kelangsungan hidup untuk beberapa jenis kanker umum telah meningkat hingga 30 persen berkat skrining, diagnosis dini, dan kemajuan dalam terapi bedah dan radiasi, menurut </w:t>
      </w:r>
      <w:hyperlink r:id="rId11" w:history="1">
        <w:r>
          <w:rPr/>
          <w:t xml:space="preserve">tinjauan terbaru</w:t>
        </w:r>
      </w:hyperlink>
      <w:r>
        <w:rPr/>
        <w:t xml:space="preserve">. Namun, dengan populasi global yang menua dan usia harapan hidup yang meningkat, kasus kanker diperkirakan akan melonjak 60 persen dalam 20 tahun ke depan. </w:t>
      </w:r>
    </w:p>
    <w:p>
      <w:pPr/>
      <w:r>
        <w:rPr/>
        <w:t xml:space="preserve">Sebagai respons, pemerintah dan lembaga swasta telah mengucurkan dana besar untuk penelitian kanker—lebih dari </w:t>
      </w:r>
      <w:hyperlink r:id="rId12" w:history="1">
        <w:r>
          <w:rPr/>
          <w:t xml:space="preserve">US$7 miliar</w:t>
        </w:r>
      </w:hyperlink>
      <w:r>
        <w:rPr/>
        <w:t xml:space="preserve"> antara tahun 2016 dan 2020 saja, yang setara dengan 29,2 persen dari total anggaran penelitian. Namun, meskipun investasi ini, penyakit ini masih dianggap sebagai vonis mati. Salah satu alasannya? Perawatan itu sendiri.</w:t>
      </w:r>
    </w:p>
    <w:p>
      <w:pPr/>
      <w:r>
        <w:rPr/>
        <w:t xml:space="preserve">Terapi kanker konvensional bergantung pada "dosis maksimum yang dapat ditoleransi"—dosis obat terkuat yang dapat ditahan oleh pasien. Tujuannya sederhana: menghancurkan sebanyak mungkin sel kanker. Namun, hasilnya seringkali berbeda. Pengobatan ini juga membunuh sel-sel sehat, meninggalkan pasien lelah dan rentan. Lebih buruk lagi, pengobatan ini dapat memberikan keunggulan kompetitif bagi sel tumor yang bertahan. Seperti bakteri yang menjadi resisten terhadap antibiotik, sel kanker dapat berevolusi di bawah tekanan, </w:t>
      </w:r>
      <w:hyperlink r:id="rId13" w:history="1">
        <w:r>
          <w:rPr/>
          <w:t xml:space="preserve">menjadi resisten</w:t>
        </w:r>
      </w:hyperlink>
      <w:r>
        <w:rPr/>
        <w:t xml:space="preserve"> terhadap terapi paling agresif kita.</w:t>
      </w:r>
    </w:p>
    <w:p>
      <w:pPr/>
      <w:r>
        <w:rPr/>
        <w:t xml:space="preserve">Ini adalah siklus yang suram: pengobatan dosis tinggi membunuh target yang mudah, tetapi meninggalkan yang tangguh. Sel-sel yang tahan ini berkembang biak dan kembali dalam </w:t>
      </w:r>
      <w:hyperlink r:id="rId14" w:history="1">
        <w:r>
          <w:rPr/>
          <w:t xml:space="preserve">bentuk</w:t>
        </w:r>
      </w:hyperlink>
      <w:r>
        <w:rPr/>
        <w:t xml:space="preserve"> yang lebih agresif dan </w:t>
      </w:r>
      <w:hyperlink r:id="rId14" w:history="1">
        <w:r>
          <w:rPr/>
          <w:t xml:space="preserve">resisten terhadap obat</w:t>
        </w:r>
      </w:hyperlink>
      <w:r>
        <w:rPr/>
        <w:t xml:space="preserve">. Menggabungkan berbagai pengobatan dapat membantu, tetapi resistensi obat tetap tak terhindarkan. Sekitar </w:t>
      </w:r>
      <w:hyperlink r:id="rId14" w:history="1">
        <w:r>
          <w:rPr/>
          <w:t xml:space="preserve">90 persen kematian akibat kanker</w:t>
        </w:r>
      </w:hyperlink>
      <w:r>
        <w:rPr/>
        <w:t xml:space="preserve"> terkait dengan resistensi obat evolusioner ini. Namun, paradigma pengobatan standar tetap largely unchanged. </w:t>
      </w:r>
    </w:p>
    <w:p>
      <w:pPr/>
      <w:r>
        <w:rPr/>
        <w:t xml:space="preserve">Di sinilah Charles Darwin masuk ke ruang onkologi.</w:t>
      </w:r>
    </w:p>
    <w:p>
      <w:pPr>
        <w:pStyle w:val="Heading4"/>
      </w:pPr>
      <w:br/>
      <w:r>
        <w:rPr/>
        <w:t xml:space="preserve">`</w:t>
      </w:r>
    </w:p>
    <w:p>
      <w:pPr>
        <w:pStyle w:val="Heading4"/>
      </w:pPr>
      <w:r>
        <w:rPr/>
        <w:t xml:space="preserve">Keunggulan evolusioner</w:t>
      </w:r>
    </w:p>
    <w:p>
      <w:pPr/>
      <w:r>
        <w:rPr/>
        <w:t xml:space="preserve">Teori evolusi Darwin menjelaskan bagaimana kehidupan beradaptasi seiring waktu melalui seleksi alam, mutasi, dan drift genetik. </w:t>
      </w:r>
      <w:hyperlink r:id="rId15" w:history="1">
        <w:r>
          <w:rPr/>
          <w:t xml:space="preserve">Kekuatan </w:t>
        </w:r>
      </w:hyperlink>
      <w:r>
        <w:rPr/>
        <w:t xml:space="preserve">yang </w:t>
      </w:r>
      <w:hyperlink r:id="rId15" w:history="1">
        <w:r>
          <w:rPr/>
          <w:t xml:space="preserve">sama beroperasi </w:t>
        </w:r>
      </w:hyperlink>
      <w:r>
        <w:rPr/>
        <w:t xml:space="preserve">pada tingkat seluler di semua makhluk hidup. Kanker terdiri dari miliaran sel yang bersaing, terus </w:t>
      </w:r>
      <w:hyperlink r:id="rId16" w:history="1">
        <w:r>
          <w:rPr/>
          <w:t xml:space="preserve">bermutasi dan merespons</w:t>
        </w:r>
      </w:hyperlink>
      <w:r>
        <w:rPr/>
        <w:t xml:space="preserve"> lingkungannya. Proses evolusi ini menciptakan tumor yang secara genetik beragam, di mana sel-sel yang resisten terhadap obat dapat muncul dan bertahan hidup. </w:t>
      </w:r>
    </w:p>
    <w:p>
      <w:pPr/>
      <w:r>
        <w:rPr/>
        <w:t xml:space="preserve">Kemampuan untuk memotong jaringan kanker menjadi lapisan tipis, memisahkannya menjadi sel-sel individu, dan </w:t>
      </w:r>
      <w:hyperlink r:id="rId15" w:history="1">
        <w:r>
          <w:rPr/>
          <w:t xml:space="preserve">mengurutkan genomnya</w:t>
        </w:r>
      </w:hyperlink>
      <w:r>
        <w:rPr/>
        <w:t xml:space="preserve"> telah menjadi kunci penemuan ini.</w:t>
      </w:r>
    </w:p>
    <w:p>
      <w:pPr/>
      <w:r>
        <w:rPr/>
        <w:t xml:space="preserve">Pemahaman dinamis ini telah menginspirasi pendekatan pengobatan baru, yang lebih banyak mengambil inspirasi dari ekologi daripada kedokteran tradisional. Dikenal sebagai </w:t>
      </w:r>
      <w:r>
        <w:rPr>
          <w:i w:val="1"/>
          <w:iCs w:val="1"/>
        </w:rPr>
        <w:t xml:space="preserve">terapi adaptif</w:t>
      </w:r>
      <w:r>
        <w:rPr/>
        <w:t xml:space="preserve">, ide ini sederhana namun radikal: alih-alih mencoba membunuh setiap sel kanker, kita belajar hidup dengan penyakit tersebut, mengelolanya seperti kondisi kronis.</w:t>
      </w:r>
    </w:p>
    <w:p>
      <w:pPr/>
      <w:r>
        <w:rPr/>
        <w:t xml:space="preserve">Model ini berasal dari tempat yang tidak terduga—pertanian. Sejak sekitar tahun 1968, petani telah menggunakan strategi untuk mengelola hama yang memungkinkan beberapa serangga yang sensitif terhadap pestisida untuk bertahan hidup. Serangga ini membantu menekan populasi yang resisten, memperlambat penyebaran resistensi pestisida. </w:t>
      </w:r>
      <w:hyperlink r:id="rId17" w:history="1">
        <w:r>
          <w:rPr/>
          <w:t xml:space="preserve">Jika diterapkan pada kanker</w:t>
        </w:r>
      </w:hyperlink>
      <w:r>
        <w:rPr/>
        <w:t xml:space="preserve">, logika yang sama menyarankan bahwa kita dapat mengendalikan sel-sel yang resisten terhadap pengobatan dengan mempertahankan populasi sel yang sensitif terhadap obat.</w:t>
      </w:r>
    </w:p>
    <w:p>
      <w:pPr/>
      <w:r>
        <w:rPr/>
        <w:t xml:space="preserve">Dalam praktiknya, terapi adaptif menggunakan dosis obat yang lebih sedikit dan lebih rendah, daripada terus-menerus membombardir tubuh dengan dosis maksimum yang dapat ditoleransi dalam upaya membunuh sebanyak mungkin sel kanker. Tujuannya adalah menjaga keseimbangan dengan mengecilkan tumor cukup untuk meredakan gejala, tetapi tidak terlalu banyak sehingga sel-sel resisten mendominasi.</w:t>
      </w:r>
    </w:p>
    <w:p>
      <w:pPr/>
      <w:r>
        <w:rPr/>
        <w:t xml:space="preserve">Strategi ini bergantung pada tiga kondisi kunci:</w:t>
      </w:r>
    </w:p>
    <w:p>
      <w:pPr>
        <w:numPr>
          <w:ilvl w:val="0"/>
          <w:numId w:val="1"/>
        </w:numPr>
      </w:pPr>
      <w:r>
        <w:rPr/>
        <w:t xml:space="preserve">Tumor harus mengandung sel-sel yang sensitif terhadap obat dan sel-sel yang resisten terhadap obat pada kanker stadium lanjut yang tidak responsif terhadap terapi tradisional.</w:t>
      </w:r>
    </w:p>
    <w:p>
      <w:pPr>
        <w:numPr>
          <w:ilvl w:val="0"/>
          <w:numId w:val="1"/>
        </w:numPr>
      </w:pPr>
      <w:r>
        <w:rPr/>
        <w:t xml:space="preserve">Sel sensitif harus memiliki keunggulan evolusioner dibandingkan sel resisten dalam kondisi tanpa pengobatan.</w:t>
      </w:r>
    </w:p>
    <w:p>
      <w:pPr>
        <w:numPr>
          <w:ilvl w:val="0"/>
          <w:numId w:val="1"/>
        </w:numPr>
      </w:pPr>
      <w:r>
        <w:rPr/>
        <w:t xml:space="preserve">Pengobatan dengan dosis rendah harus tetap mengurangi beban tumor secara keseluruhan sambil menjaga populasi sel resisten tetap terkendali.</w:t>
      </w:r>
    </w:p>
    <w:p>
      <w:pPr/>
      <w:r>
        <w:rPr/>
        <w:t xml:space="preserve">Pendekatan ini semakin mendapat perhatian. Uji klinis untuk terapi adaptif pada kanker prostat, tiroid, ovarium, dan melanoma sudah berlangsung. Hasil awal menjanjikan. Salah satu uji klinis untuk </w:t>
      </w:r>
      <w:hyperlink r:id="rId18" w:history="1">
        <w:r>
          <w:rPr/>
          <w:t xml:space="preserve">kanker prostat metastasis yang resisten terhadap kastrasi</w:t>
        </w:r>
      </w:hyperlink>
      <w:r>
        <w:rPr/>
        <w:t xml:space="preserve"> di Moffitt Cancer Center, Florida, menunjukkan bahwa terapi adaptif dapat </w:t>
      </w:r>
      <w:hyperlink r:id="rId19" w:history="1">
        <w:r>
          <w:rPr/>
          <w:t xml:space="preserve">menunda perkembangan tumor</w:t>
        </w:r>
      </w:hyperlink>
      <w:r>
        <w:rPr/>
        <w:t xml:space="preserve"> lebih dari 50 persen dibandingkan pengobatan konvensional, sambil menggunakan dosis obat yang hampir setengah dari dosis biasa.</w:t>
      </w:r>
    </w:p>
    <w:p>
      <w:pPr/>
      <w:r>
        <w:rPr/>
        <w:t xml:space="preserve">Sebagian besar studi awal berfokus pada obat tunggal. Namun, dalam praktik klinis, kanker biasanya diobati dengan kombinasi obat. Hal ini mendorong peneliti untuk menggunakan alat lain, kali ini dari matematika, untuk merancang terapi adaptif untuk kombinasi obat: teori permainan. Awalnya dikembangkan untuk memodelkan pengambilan keputusan dalam ekonomi dan strategi militer, teori permainan kini </w:t>
      </w:r>
      <w:hyperlink r:id="rId20" w:history="1">
        <w:r>
          <w:rPr/>
          <w:t xml:space="preserve">membantu onkolog merancang regimen obat</w:t>
        </w:r>
      </w:hyperlink>
      <w:r>
        <w:rPr/>
        <w:t xml:space="preserve"> yang memprediksi bagaimana tumor akan berkembang dan merespons seiring waktu.</w:t>
      </w:r>
    </w:p>
    <w:p>
      <w:pPr/>
      <w:r>
        <w:rPr/>
        <w:t xml:space="preserve">Namun, </w:t>
      </w:r>
      <w:hyperlink r:id="rId21" w:history="1">
        <w:r>
          <w:rPr/>
          <w:t xml:space="preserve">masih ada hambatan</w:t>
        </w:r>
      </w:hyperlink>
      <w:r>
        <w:rPr/>
        <w:t xml:space="preserve">. Salah satu yang terbesar adalah mengidentifikasi pasien yang tepat—mereka yang memiliki sel resistensi lebih sedikit tampaknya merespons terbaik. Tantangan lain adalah memantau tumor secara real-time dan menyesuaikan pengobatan secara instan. Biomarker yang andal masih kurang, dan terapi adaptif membutuhkan pemantauan konstan. Batasan-batasan ini termasuk di antara tantangan utama dalam menerapkan pendekatan berbasis evolusi dalam praktik.</w:t>
      </w:r>
    </w:p>
    <w:p>
      <w:pPr/>
      <w:r>
        <w:rPr/>
        <w:t xml:space="preserve">Namun, potensinya sangat besar. Dengan memperlakukan kanker sebagai sistem yang terus berkembang rather than musuh statis, terapi adaptif dapat mengubah cara kita mengelola penyakit ini. Tujuannya bukan untuk menyembuhkan kanker secara langsung, tetapi untuk mengubahnya menjadi sesuatu yang dapat kita hidupi, seperti tekanan darah tinggi atau diabetes.</w:t>
      </w:r>
    </w:p>
    <w:p>
      <w:pPr/>
      <w:r>
        <w:rPr/>
        <w:t xml:space="preserve">Teori Darwin yang lama mungkin saja membuka bab baru dalam perjuangan melawan salah satu pembunuh paling persisten umat manusia.</w:t>
      </w:r>
    </w:p>
    <w:p>
      <w:pPr/>
      <w:r>
        <w:rPr>
          <w:b w:val="1"/>
          <w:bCs w:val="1"/>
          <w:i w:val="1"/>
          <w:iCs w:val="1"/>
        </w:rPr>
        <w:t xml:space="preserve">Dr. Anindita Chakrabarty</w:t>
      </w:r>
      <w:r>
        <w:rPr>
          <w:i w:val="1"/>
          <w:iCs w:val="1"/>
        </w:rPr>
        <w:t xml:space="preserve"> adalah Associate Professor di Departemen Ilmu Hayati, Shiv Nadar Institution of Eminence, Delhi-NCR. </w:t>
      </w:r>
    </w:p>
    <w:p>
      <w:pPr/>
      <w:r>
        <w:rPr>
          <w:i w:val="1"/>
          <w:iCs w:val="1"/>
        </w:rPr>
        <w:t xml:space="preserve">Diterbitkan pertama kali di bawah lisensi</w:t>
      </w:r>
      <w:hyperlink r:id="rId22" w:history="1">
        <w:r>
          <w:rPr/>
          <w:t xml:space="preserve"> </w:t>
        </w:r>
      </w:hyperlink>
      <w:hyperlink r:id="rId22" w:history="1">
        <w:r>
          <w:rPr>
            <w:i w:val="1"/>
            <w:iCs w:val="1"/>
          </w:rPr>
          <w:t xml:space="preserve">Creative Commons</w:t>
        </w:r>
      </w:hyperlink>
      <w:r>
        <w:rPr>
          <w:i w:val="1"/>
          <w:iCs w:val="1"/>
        </w:rPr>
        <w:t xml:space="preserve"> oleh</w:t>
      </w:r>
      <w:hyperlink r:id="rId23" w:history="1">
        <w:r>
          <w:rPr/>
          <w:t xml:space="preserve"> </w:t>
        </w:r>
      </w:hyperlink>
      <w:hyperlink r:id="rId23" w:history="1">
        <w:r>
          <w:rPr>
            <w:i w:val="1"/>
            <w:iCs w:val="1"/>
          </w:rPr>
          <w:t xml:space="preserve">360info</w:t>
        </w:r>
      </w:hyperlink>
      <w:r>
        <w:rPr>
          <w:i w:val="1"/>
          <w:iCs w:val="1"/>
        </w:rPr>
        <w:t xml:space="preserve">™.</w:t>
      </w:r>
    </w:p>
    <w:p>
      <w:pPr/>
      <w:r>
        <w:rPr/>
        <w:t xml:space="preserve"> </w:t>
      </w:r>
    </w:p>
    <w:p>
      <w:pPr/>
      <w:br/>
      <w:r>
        <w:rPr/>
        <w:t xml:space="preserve">`</w:t>
      </w:r>
    </w:p>
    <w:p>
      <w:pPr/>
      <w:r>
        <w:rPr/>
        <w:t xml:space="preserve">Artikel ini diterjemahkan menggunakan alat kecerdasan buatan otomatis yang berpotensi memiliki kesalahan, kesilapan dan ketidakakuratan. Berbagai upaya sudah dilakukan untuk memastikan kejelasan dan koherensi, terjemahan ini bisa saja tidak lengkap dalam menangkap nuansa, intonasi dan tujuan dari teks aslinya. Untuk versi yang tepat, silakan merujuk pada artikel aslinya.</w:t>
      </w:r>
    </w:p>
    <w:p>
      <w:pPr/>
      <w:br/>
      <w:r>
        <w:rPr/>
        <w:t xml:space="preserve">`</w:t>
      </w:r>
    </w:p>
    <w:p>
      <w:pPr/>
      <w:r>
        <w:rPr/>
        <w:t xml:space="preserve">Artikel ini </w:t>
      </w:r>
      <w:hyperlink r:id="rId24" w:history="1">
        <w:r>
          <w:rPr/>
          <w:t xml:space="preserve">pertama kali</w:t>
        </w:r>
      </w:hyperlink>
      <w:r>
        <w:rPr/>
        <w:t xml:space="preserve"> dipublikasikan tanggal 26 May 2025 di bawah lisensi Creative Commons oleh 360info™</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nsid w:val="726D938B"/>
    <w:multiLevelType w:val="multilevel"/>
    <w:lvl w:ilvl="0">
      <w:start w:val="1"/>
      <w:numFmt w:val="decimal"/>
      <w:suff w:val="tab"/>
      <w:lvlText w:val="%1."/>
      <w:lvlJc w:val="left"/>
      <w:pPr>
        <w:tabs>
          <w:tab w:val="num" w:pos="720"/>
        </w:tabs>
        <w:ind w:left="720" w:hanging="360"/>
      </w:pPr>
      <w:rPr>
        <w:rFonts/>
      </w:rPr>
    </w:lvl>
    <w:lvl w:ilvl="1">
      <w:start w:val="1"/>
      <w:numFmt w:val="lowerLetter"/>
      <w:suff w:val="tab"/>
      <w:lvlText w:val="%2."/>
      <w:lvlJc w:val="left"/>
      <w:pPr>
        <w:tabs>
          <w:tab w:val="num" w:pos="1440"/>
        </w:tabs>
        <w:ind w:left="1440" w:hanging="360"/>
      </w:pPr>
      <w:rPr>
        <w:rFonts/>
      </w:rPr>
    </w:lvl>
    <w:lvl w:ilvl="2">
      <w:start w:val="1"/>
      <w:numFmt w:val="lowerRoman"/>
      <w:suff w:val="tab"/>
      <w:lvlText w:val="%3."/>
      <w:lvlJc w:val="right"/>
      <w:pPr>
        <w:tabs>
          <w:tab w:val="num" w:pos="2160"/>
        </w:tabs>
        <w:ind w:left="2160" w:hanging="180"/>
      </w:pPr>
      <w:rPr>
        <w:rFonts/>
      </w:rPr>
    </w:lvl>
    <w:lvl w:ilvl="3">
      <w:start w:val="1"/>
      <w:numFmt w:val="decimal"/>
      <w:suff w:val="tab"/>
      <w:lvlText w:val="%4."/>
      <w:lvlJc w:val="left"/>
      <w:pPr>
        <w:tabs>
          <w:tab w:val="num" w:pos="2880"/>
        </w:tabs>
        <w:ind w:left="2880" w:hanging="360"/>
      </w:pPr>
      <w:rPr>
        <w:rFonts/>
      </w:rPr>
    </w:lvl>
    <w:lvl w:ilvl="4">
      <w:start w:val="1"/>
      <w:numFmt w:val="lowerLetter"/>
      <w:suff w:val="tab"/>
      <w:lvlText w:val="%5."/>
      <w:lvlJc w:val="left"/>
      <w:pPr>
        <w:tabs>
          <w:tab w:val="num" w:pos="3600"/>
        </w:tabs>
        <w:ind w:left="3600" w:hanging="360"/>
      </w:pPr>
      <w:rPr>
        <w:rFonts/>
      </w:rPr>
    </w:lvl>
    <w:lvl w:ilvl="5">
      <w:start w:val="1"/>
      <w:numFmt w:val="lowerRoman"/>
      <w:suff w:val="tab"/>
      <w:lvlText w:val="%6."/>
      <w:lvlJc w:val="right"/>
      <w:pPr>
        <w:tabs>
          <w:tab w:val="num" w:pos="4320"/>
        </w:tabs>
        <w:ind w:left="4320" w:hanging="180"/>
      </w:pPr>
      <w:rPr>
        <w:rFonts/>
      </w:rPr>
    </w:lvl>
    <w:lvl w:ilvl="6">
      <w:start w:val="1"/>
      <w:numFmt w:val="decimal"/>
      <w:suff w:val="tab"/>
      <w:lvlText w:val="%7."/>
      <w:lvlJc w:val="left"/>
      <w:pPr>
        <w:tabs>
          <w:tab w:val="num" w:pos="5040"/>
        </w:tabs>
        <w:ind w:left="5040" w:hanging="360"/>
      </w:pPr>
      <w:rPr>
        <w:rFonts/>
      </w:rPr>
    </w:lvl>
    <w:lvl w:ilvl="7">
      <w:start w:val="1"/>
      <w:numFmt w:val="lowerLetter"/>
      <w:suff w:val="tab"/>
      <w:lvlText w:val="%8."/>
      <w:lvlJc w:val="left"/>
      <w:pPr>
        <w:tabs>
          <w:tab w:val="num" w:pos="5760"/>
        </w:tabs>
        <w:ind w:left="5760" w:hanging="360"/>
      </w:pPr>
      <w:rPr>
        <w:rFonts/>
      </w:rPr>
    </w:lvl>
    <w:lvl w:ilvl="8">
      <w:start w:val="1"/>
      <w:numFmt w:val="lowerRoman"/>
      <w:suff w:val="tab"/>
      <w:lvlText w:val="%9."/>
      <w:lvlJc w:val="right"/>
      <w:pPr>
        <w:tabs>
          <w:tab w:val="num" w:pos="6480"/>
        </w:tabs>
        <w:ind w:left="6480" w:hanging="180"/>
      </w:pPr>
      <w:rPr>
        <w:rFonts/>
      </w:rPr>
    </w:lvl>
  </w:abstractNum>
  <w:num w:numId="1">
    <w:abstractNumId w:val="1"/>
  </w:num>
</w:numbering>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Times New Roman" w:hAnsi="Times New Roman" w:eastAsia="Arial" w:cs="Times New Roman"/>
        <w:color w:val="000000"/>
        <w:sz w:val="24"/>
        <w:szCs w:val="24"/>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hyperlink" Target="https://doi.org/10.15171/apb.2017.041" TargetMode="External"/><Relationship Id="rId9" Type="http://schemas.openxmlformats.org/officeDocument/2006/relationships/hyperlink" Target="https://acsjournals.onlinelibrary.wiley.com/doi/10.3322/caac.21834" TargetMode="External"/><Relationship Id="rId10" Type="http://schemas.openxmlformats.org/officeDocument/2006/relationships/hyperlink" Target="https://doi.org/10.3322/caac.21834" TargetMode="External"/><Relationship Id="rId11" Type="http://schemas.openxmlformats.org/officeDocument/2006/relationships/hyperlink" Target="https://doi.org/10.1093/emph/eoae032" TargetMode="External"/><Relationship Id="rId12" Type="http://schemas.openxmlformats.org/officeDocument/2006/relationships/hyperlink" Target="https://www.thelancet.com/journals/lanonc/article/PIIS1470-2045(23)00182-1/fulltext" TargetMode="External"/><Relationship Id="rId13" Type="http://schemas.openxmlformats.org/officeDocument/2006/relationships/hyperlink" Target="https://aacrjournals.org/cancerres/article-abstract/80/23/5147/645859/Searching-for-Goldilocks-How-Evolution-and-Ecology?redirectedFrom=fulltext" TargetMode="External"/><Relationship Id="rId14" Type="http://schemas.openxmlformats.org/officeDocument/2006/relationships/hyperlink" Target="https://www.mdpi.com/1422-0067/21/9/3233" TargetMode="External"/><Relationship Id="rId15" Type="http://schemas.openxmlformats.org/officeDocument/2006/relationships/hyperlink" Target="https://www.cell.com/trends/genetics/fulltext/S0168-9525(21)00168-2?_returnURL=https%3A%2F%2Flinkinghub.elsevier.com%2Fretrieve%2Fpii%2FS0168952521001682%3Fshowall%3Dtrue" TargetMode="External"/><Relationship Id="rId16" Type="http://schemas.openxmlformats.org/officeDocument/2006/relationships/hyperlink" Target="https://aacrjournals.org/cancerres/article-abstract/75/22/4675/662323/Application-of-Evolutionary-Principles-to-Cancer?redirectedFrom=fulltext" TargetMode="External"/><Relationship Id="rId17" Type="http://schemas.openxmlformats.org/officeDocument/2006/relationships/hyperlink" Target="https://aacrjournals.org/cancerres/article-abstract/69/11/4894/549572/Adaptive-Therapy?redirectedFrom=fulltext" TargetMode="External"/><Relationship Id="rId18" Type="http://schemas.openxmlformats.org/officeDocument/2006/relationships/hyperlink" Target="https://clinicaltrials.gov/ct2/show/NCT02415621" TargetMode="External"/><Relationship Id="rId19" Type="http://schemas.openxmlformats.org/officeDocument/2006/relationships/hyperlink" Target="https://www.nature.com/articles/s41467-017-01968-5" TargetMode="External"/><Relationship Id="rId20" Type="http://schemas.openxmlformats.org/officeDocument/2006/relationships/hyperlink" Target="https://aacrjournals.org/cancerres/article-abstract/80/7/1578/647731/Towards-Multidrug-Adaptive-TherapyTowards?redirectedFrom=fulltext" TargetMode="External"/><Relationship Id="rId21" Type="http://schemas.openxmlformats.org/officeDocument/2006/relationships/hyperlink" Target="https://www.sciencedirect.com/science/article/pii/S1040842823002809?via%3Dihub" TargetMode="External"/><Relationship Id="rId22" Type="http://schemas.openxmlformats.org/officeDocument/2006/relationships/hyperlink" Target="https://creativecommons.org/licenses/by/4.0/" TargetMode="External"/><Relationship Id="rId23" Type="http://schemas.openxmlformats.org/officeDocument/2006/relationships/hyperlink" Target="https://360info.org/" TargetMode="External"/><Relationship Id="rId24" Type="http://schemas.openxmlformats.org/officeDocument/2006/relationships/hyperlink" Target="https://360info.org/managing-drug-resistant-cancers-darwin-to-the-rescu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2026-02-25T09:45:11+00:00</dcterms:created>
  <dcterms:modified xsi:type="dcterms:W3CDTF">2026-02-25T09:45:11+00:00</dcterms:modified>
</cp:coreProperties>
</file>

<file path=docProps/custom.xml><?xml version="1.0" encoding="utf-8"?>
<Properties xmlns="http://schemas.openxmlformats.org/officeDocument/2006/custom-properties" xmlns:vt="http://schemas.openxmlformats.org/officeDocument/2006/docPropsVTypes"/>
</file>