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Batasan sipil-militer Indonesia menghadapi tekanan baru.</w:t>
      </w:r>
    </w:p>
    <w:p>
      <w:pPr>
        <w:jc w:val="both"/>
      </w:pPr>
      <w:r>
        <w:rPr/>
        <w:t xml:space="preserve">Rencana untuk melatih ribuan pegawai negeri sipil sebagai pasukan cadangan nasional menuai kritik karena dikhawatirkan akan mengarah pada militerisasi birokrasi.</w:t>
      </w:r>
    </w:p>
    <w:p>
      <w:pPr/>
      <w:r>
        <w:pict>
          <v:shape type="#_x0000_t75" stroked="f" style="width:600px; height:314.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Hukum Indonesia mewajibkan pegawai negeri sipil untuk ikut serta dalam pertahanan nasional melalui pelatihan militer.Foto: 17082010_HariKemerdaanRI_857”  sbamueller – CC BY-SA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Charles Simabura</w:t>
            </w:r>
            <w:r>
              <w:rPr/>
              <w:t xml:space="preserve"> - Andalas University, Indonesia -  -</w:t>
            </w:r>
          </w:p>
        </w:tc>
        <w:tc>
          <w:tcPr>
            <w:tcW w:w="300" w:type="pct"/>
            <w:tcMar>
              <w:bottom w:w="0" w:type="dxa"/>
            </w:tcMar>
            <w:noWrap/>
          </w:tcPr>
          <w:p>
            <w:pPr/>
          </w:p>
        </w:tc>
        <w:tc>
          <w:tcPr>
            <w:tcW w:w="2350" w:type="pct"/>
            <w:tcMar>
              <w:bottom w:w="0" w:type="dxa"/>
            </w:tcMar>
            <w:noWrap/>
          </w:tcPr>
          <w:p>
            <w:pPr/>
            <w:r>
              <w:rPr>
                <w:b w:val="1"/>
                <w:bCs w:val="1"/>
              </w:rPr>
              <w:t xml:space="preserve">Ria Ernunsari</w:t>
            </w:r>
            <w:r>
              <w:rPr/>
              <w:t xml:space="preserve"> - Sr. Commissioning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Namita Kohli</w:t>
            </w:r>
            <w:r>
              <w:rPr/>
              <w:t xml:space="preserve"> - Commissioning Editor, 360info -  -</w:t>
            </w:r>
          </w:p>
        </w:tc>
      </w:tr>
    </w:tbl>
    <w:p/>
    <w:p>
      <w:pPr/>
      <w:r>
        <w:rPr/>
        <w:t xml:space="preserve">Rencana untuk melatih ribuan pegawai negeri sipil sebagai pasukan cadangan nasional menuai kritik terkait risiko militerisasi birokrasi.</w:t>
      </w:r>
    </w:p>
    <w:p>
      <w:pPr/>
      <w:br/>
      <w:r>
        <w:rPr/>
        <w:t xml:space="preserve">`</w:t>
      </w:r>
    </w:p>
    <w:p>
      <w:pPr/>
      <w:hyperlink r:id="rId8" w:history="1">
        <w:r>
          <w:rPr/>
          <w:t xml:space="preserve">Usulan</w:t>
        </w:r>
      </w:hyperlink>
      <w:r>
        <w:rPr/>
        <w:t xml:space="preserve"> Indonesia </w:t>
      </w:r>
      <w:hyperlink r:id="rId8" w:history="1">
        <w:r>
          <w:rPr/>
          <w:t xml:space="preserve">untuk melatih</w:t>
        </w:r>
      </w:hyperlink>
      <w:r>
        <w:rPr/>
        <w:t xml:space="preserve"> 4.000 pegawai negeri sipil sebagai anggota Pasukan Cadangan Nasional telah memicu perdebatan baru tentang batas-batas antara peran sipil dan militer dalam pemerintahan.</w:t>
      </w:r>
    </w:p>
    <w:p>
      <w:pPr/>
      <w:r>
        <w:rPr/>
        <w:t xml:space="preserve">Kementerian Pertahanan juga mengusulkan kemungkinan menunjuk semua pegawai negeri sipil—sekitar lima juta orang—sebagai bagian dari cadangan nasional.</w:t>
      </w:r>
      <w:hyperlink r:id="rId9" w:history="1">
        <w:r>
          <w:rPr/>
          <w:t xml:space="preserve"> Kritikus memperingatkan </w:t>
        </w:r>
      </w:hyperlink>
      <w:r>
        <w:rPr/>
        <w:t xml:space="preserve">bahwa langkah tersebut berisiko mengubah birokrasi sipil negara menjadi lebih militeristik.</w:t>
      </w:r>
    </w:p>
    <w:p>
      <w:pPr/>
      <w:br/>
      <w:r>
        <w:rPr/>
        <w:t xml:space="preserve">`</w:t>
      </w:r>
    </w:p>
    <w:p>
      <w:pPr/>
      <w:r>
        <w:rPr/>
        <w:t xml:space="preserve">Rencana ini berada di persimpangan antara kebijakan pertahanan nasional, hubungan sipil-militer, dan reformasi birokrasi. Hal ini juga menimbulkan pertanyaan tentang bagaimana negara menafsirkan kewajiban konstitusional warga negara untuk berpartisipasi dalam pertahanan nasional, serta apakah Undang-Undang Pengelolaan Sumber Daya Nasional untuk Pertahanan Negara (</w:t>
      </w:r>
      <w:hyperlink r:id="rId10" w:history="1">
        <w:r>
          <w:rPr/>
          <w:t xml:space="preserve">UU PSDN</w:t>
        </w:r>
      </w:hyperlink>
      <w:r>
        <w:rPr/>
        <w:t xml:space="preserve">) Tahun 2019 diterapkan sesuai dengan tujuan aslinya.</w:t>
      </w:r>
    </w:p>
    <w:p>
      <w:pPr>
        <w:pStyle w:val="Heading4"/>
      </w:pPr>
      <w:br/>
      <w:r>
        <w:rPr/>
        <w:t xml:space="preserve">`</w:t>
      </w:r>
    </w:p>
    <w:p>
      <w:pPr>
        <w:pStyle w:val="Heading4"/>
      </w:pPr>
      <w:r>
        <w:rPr>
          <w:b w:val="1"/>
          <w:bCs w:val="1"/>
        </w:rPr>
        <w:t xml:space="preserve">Apa yang sebenarnya diwajibkan oleh Undang-Undang Pertahanan MNRS</w:t>
      </w:r>
    </w:p>
    <w:p>
      <w:pPr/>
      <w:r>
        <w:rPr/>
        <w:t xml:space="preserve">UU PSDN menguraikan lima mekanisme untuk mengelola sumber daya nasional untuk pertahanan: </w:t>
      </w:r>
      <w:r>
        <w:rPr>
          <w:i w:val="1"/>
          <w:iCs w:val="1"/>
        </w:rPr>
        <w:t xml:space="preserve">bela negara</w:t>
      </w:r>
      <w:r>
        <w:rPr/>
        <w:t xml:space="preserve"> atau program pendidikan kewarganegaraan yang membangun kesadaran, ketahanan, dan kemauan warga negara untuk berkontribusi pada pertahanan nasional tanpa memerlukan pelatihan militer</w:t>
      </w:r>
      <w:r>
        <w:rPr>
          <w:i w:val="1"/>
          <w:iCs w:val="1"/>
        </w:rPr>
        <w:t xml:space="preserve">, </w:t>
      </w:r>
      <w:r>
        <w:rPr/>
        <w:t xml:space="preserve">pembentukan komponen pendukung, pembentukan cadangan nasional, penguatan komponen utama, serta mobilisasi dan demobilisasi.</w:t>
      </w:r>
    </w:p>
    <w:p>
      <w:pPr/>
      <w:br/>
      <w:r>
        <w:rPr/>
        <w:t xml:space="preserve">`</w:t>
      </w:r>
    </w:p>
    <w:p>
      <w:pPr/>
      <w:r>
        <w:rPr/>
        <w:t xml:space="preserve">Undang-undang ini menempatkan </w:t>
      </w:r>
      <w:r>
        <w:rPr>
          <w:i w:val="1"/>
          <w:iCs w:val="1"/>
        </w:rPr>
        <w:t xml:space="preserve">bela negara</w:t>
      </w:r>
      <w:r>
        <w:rPr/>
        <w:t xml:space="preserve"> di garis depan, menekankan kesadaran kewarganegaraan dan ketahanan nasional untuk kekuatan dan kesiapan Indonesia sebagai bangsa. Undang-undang ini bertujuan untuk menciptakan masyarakat yang kohesif, tenang, kooperatif, dan bersatu selama krisis karena masyarakat percaya pada institusi dan tahu cara merespons secara bertanggung jawab.</w:t>
      </w:r>
    </w:p>
    <w:p>
      <w:pPr/>
      <w:br/>
      <w:r>
        <w:rPr/>
        <w:t xml:space="preserve">`</w:t>
      </w:r>
    </w:p>
    <w:p>
      <w:pPr/>
      <w:r>
        <w:rPr/>
        <w:t xml:space="preserve">Secara krusial, undang-undang ini mengklasifikasikan pegawai negeri sipil sebagai </w:t>
      </w:r>
      <w:r>
        <w:rPr>
          <w:i w:val="1"/>
          <w:iCs w:val="1"/>
        </w:rPr>
        <w:t xml:space="preserve">Komponen Pendukung</w:t>
      </w:r>
      <w:r>
        <w:rPr/>
        <w:t xml:space="preserve">, bukan pasukan cadangan. Pasal 20 ayat 1 huruf d Undang-Undang Pertahanan MNRS menempatkan pegawai negeri sipil di bawah “warga negara lain sebagai unsur masyarakat sipil.” Dalam penjelasan pasal ini, yang dimaksud dengan "warga negara selain warga negara" adalah warga negara yang tidak termasuk dalam Komponen Utama, Komponen Cadangan, warga negara yang terlatih, dan ahli, tetapi memenuhi persyaratan fisik dan psikologis untuk menjadi Komponen Pendukung bersama dengan veteran dan warga negara individu.</w:t>
      </w:r>
    </w:p>
    <w:p>
      <w:pPr/>
      <w:br/>
      <w:r>
        <w:rPr/>
        <w:t xml:space="preserve">`</w:t>
      </w:r>
    </w:p>
    <w:p>
      <w:pPr/>
      <w:r>
        <w:rPr/>
        <w:t xml:space="preserve">Komponen Pendukung dikembangkan melalui "sosialisasi, bimbingan teknis, dan/atau simulasi," bukan pelatihan militer. Seperti yang dicatat dalam dokumen asli, Komponen Pendukung "tidak menjalani pelatihan militer seperti halnya Pasukan Cadangan Nasional." Berdasarkan Pasal 1 ayat 10, dapat diartikan bahwa Komponen Pendukung adalah Sumber Daya Nasional non-militer yang dapat digunakan untuk meningkatkan kekuatan dan kemampuan Komponen Utama dan Komponen Cadangan.</w:t>
      </w:r>
    </w:p>
    <w:p>
      <w:pPr/>
      <w:r>
        <w:rPr/>
        <w:t xml:space="preserve">Meskipun undang-undang memungkinkan warga negara—termasuk pegawai negeri—untuk mendaftar sukarela ke Cadangan Nasional, undang-undang tidak mengharuskan semua pegawai negeri ditetapkan sebagai pasukan cadangan. Partisipasi harus dilakukan melalui pendaftaran sukarela.</w:t>
      </w:r>
    </w:p>
    <w:p>
      <w:pPr>
        <w:pStyle w:val="Heading4"/>
      </w:pPr>
      <w:br/>
      <w:r>
        <w:rPr/>
        <w:t xml:space="preserve">`</w:t>
      </w:r>
    </w:p>
    <w:p>
      <w:pPr>
        <w:pStyle w:val="Heading4"/>
      </w:pPr>
      <w:r>
        <w:rPr>
          <w:b w:val="1"/>
          <w:bCs w:val="1"/>
        </w:rPr>
        <w:t xml:space="preserve">Mengapa Cadangan Nasional ada </w:t>
      </w:r>
    </w:p>
    <w:p>
      <w:pPr/>
      <w:r>
        <w:rPr/>
        <w:t xml:space="preserve">Cadangan Nasional diperkenalkan sebagai kompromi setelah Indonesia memilih</w:t>
      </w:r>
      <w:hyperlink r:id="rId11" w:history="1">
        <w:r>
          <w:rPr/>
          <w:t xml:space="preserve"> tidak mengadopsi wajib militer</w:t>
        </w:r>
      </w:hyperlink>
      <w:r>
        <w:rPr/>
        <w:t xml:space="preserve">. Pasal</w:t>
      </w:r>
      <w:hyperlink r:id="rId12" w:history="1">
        <w:r>
          <w:rPr/>
          <w:t xml:space="preserve"> 30 Konstitusi</w:t>
        </w:r>
      </w:hyperlink>
      <w:r>
        <w:rPr/>
        <w:t xml:space="preserve"> menyatakan bahwa setiap warga negara memiliki hak dan kewajiban untuk berpartisipasi dalam pertahanan dan keamanan nasional.</w:t>
      </w:r>
    </w:p>
    <w:p>
      <w:pPr/>
      <w:br/>
      <w:r>
        <w:rPr/>
        <w:t xml:space="preserve">`</w:t>
      </w:r>
    </w:p>
    <w:p>
      <w:pPr/>
      <w:r>
        <w:rPr/>
        <w:t xml:space="preserve">Undang-Undang Pertahanan MNRS mengorganisir sumber daya pertahanan nasional ke dalam struktur tiga bagian, di mana Komponen Utama terdiri dari Tentara Nasional Indonesia (TNI), Komponen Cadangan terdiri dari warga sipil yang sukarela mengikuti pelatihan militer, dan Komponen Pendukung mencakup lembaga, sumber daya, dan warga negara yang berkontribusi melalui peran non-militer seperti anggota veteran Republik Indonesia; Aparatur Sipil Negara; dan Individu.</w:t>
      </w:r>
    </w:p>
    <w:p>
      <w:pPr/>
      <w:br/>
      <w:r>
        <w:rPr/>
        <w:t xml:space="preserve">`</w:t>
      </w:r>
    </w:p>
    <w:p>
      <w:pPr/>
      <w:r>
        <w:rPr/>
        <w:t xml:space="preserve">Kewajiban warga negara untuk berpartisipasi hanya menjadi mengikat selama keadaan darurat atau ketika mobilisasi diumumkan. Apakah hal ini pernah dilakukan?</w:t>
      </w:r>
    </w:p>
    <w:p>
      <w:pPr/>
      <w:r>
        <w:rPr/>
        <w:t xml:space="preserve">Di luar kondisi tersebut, partisipasi bersifat sukarela.</w:t>
      </w:r>
    </w:p>
    <w:p>
      <w:pPr/>
      <w:br/>
      <w:r>
        <w:rPr/>
        <w:t xml:space="preserve">`</w:t>
      </w:r>
    </w:p>
    <w:p>
      <w:pPr/>
      <w:r>
        <w:rPr/>
        <w:t xml:space="preserve">Struktur ini </w:t>
      </w:r>
      <w:hyperlink r:id="rId13" w:history="1">
        <w:r>
          <w:rPr/>
          <w:t xml:space="preserve">dirancang</w:t>
        </w:r>
      </w:hyperlink>
      <w:r>
        <w:rPr/>
        <w:t xml:space="preserve"> untuk menyeimbangkan kebutuhan pertahanan Indonesia dengan komitmennya terhadap supremasi sipil dan tata kelola demokratis. Memperluas Cadangan Nasional untuk mencakup semua pegawai negeri sipil akan mewakili penafsiran ulang yang signifikan terhadap keseimbangan ini.</w:t>
      </w:r>
    </w:p>
    <w:p>
      <w:pPr>
        <w:pStyle w:val="Heading4"/>
      </w:pPr>
      <w:br/>
      <w:r>
        <w:rPr/>
        <w:t xml:space="preserve">`</w:t>
      </w:r>
    </w:p>
    <w:p>
      <w:pPr>
        <w:pStyle w:val="Heading4"/>
      </w:pPr>
      <w:r>
        <w:rPr>
          <w:b w:val="1"/>
          <w:bCs w:val="1"/>
        </w:rPr>
        <w:t xml:space="preserve">Menyamarkan batas antara sipil dan militer</w:t>
      </w:r>
    </w:p>
    <w:p>
      <w:pPr/>
      <w:r>
        <w:rPr/>
        <w:t xml:space="preserve">Organisasi </w:t>
      </w:r>
      <w:hyperlink r:id="rId14" w:history="1">
        <w:r>
          <w:rPr/>
          <w:t xml:space="preserve">masyarakat sipil</w:t>
        </w:r>
      </w:hyperlink>
      <w:r>
        <w:rPr/>
        <w:t xml:space="preserve">, </w:t>
      </w:r>
      <w:hyperlink r:id="rId15" w:history="1">
        <w:r>
          <w:rPr/>
          <w:t xml:space="preserve">pakar hukum</w:t>
        </w:r>
      </w:hyperlink>
      <w:r>
        <w:rPr/>
        <w:t xml:space="preserve">, dan beberapa</w:t>
      </w:r>
      <w:hyperlink r:id="rId16" w:history="1">
        <w:r>
          <w:rPr/>
          <w:t xml:space="preserve"> anggota parlemen</w:t>
        </w:r>
      </w:hyperlink>
      <w:r>
        <w:rPr/>
        <w:t xml:space="preserve"> telah mengekspresikan kekhawatiran bahwa melibatkan pegawai negeri sipil dalam Cadangan Nasional dapat membaurkan batas antara bidang sipil dan militer. Mereka menekankan bahwa keterlibatan pegawai negeri sipil tidak boleh bersifat paksa dan tidak boleh mengganggu layanan publik.</w:t>
      </w:r>
    </w:p>
    <w:p>
      <w:pPr/>
      <w:br/>
      <w:r>
        <w:rPr/>
        <w:t xml:space="preserve">`</w:t>
      </w:r>
    </w:p>
    <w:p>
      <w:pPr/>
      <w:r>
        <w:rPr/>
        <w:t xml:space="preserve">Latihan militer didasarkan pada hierarki, struktur komando, dan ketaatan—nilai-nilai yang berbeda dengan prinsip-prinsip tata kelola sipil, yang menekankan akuntabilitas, transparansi, dan pelayanan publik.</w:t>
      </w:r>
    </w:p>
    <w:p>
      <w:pPr/>
      <w:r>
        <w:rPr/>
        <w:t xml:space="preserve">Dokumen tersebut mencatat bahwa doktrin Cadangan Nasional mempersiapkan individu untuk menghadapi ancaman, sementara tugas pegawai negeri sipil adalah meningkatkan "pemerintahan layanan publik yang manusiawi dan akuntabel."</w:t>
      </w:r>
    </w:p>
    <w:p>
      <w:pPr/>
      <w:br/>
      <w:r>
        <w:rPr/>
        <w:t xml:space="preserve">`</w:t>
      </w:r>
    </w:p>
    <w:p>
      <w:pPr/>
      <w:r>
        <w:rPr/>
        <w:t xml:space="preserve">Pelatihan gaya militer dapat mengubah budaya birokrasi Indonesia, memperkuat kekakuan, dan melemahkan momentum reformasi. Indoktrinasi militer bagi pegawai negeri sipil melalui komponen cadangan tampaknya mengulang </w:t>
      </w:r>
      <w:hyperlink r:id="rId17" w:history="1">
        <w:r>
          <w:rPr/>
          <w:t xml:space="preserve">program indoktrinasi Pancasila</w:t>
        </w:r>
      </w:hyperlink>
      <w:r>
        <w:rPr/>
        <w:t xml:space="preserve"> era</w:t>
      </w:r>
      <w:hyperlink r:id="rId17" w:history="1">
        <w:r>
          <w:rPr/>
          <w:t xml:space="preserve"> Orde Baru</w:t>
        </w:r>
      </w:hyperlink>
      <w:r>
        <w:rPr/>
        <w:t xml:space="preserve">, yang “pada akhirnya gagal meningkatkan kualitas layanan publik” dan justru memperdalam kekakuan birokrasi dan korupsi.</w:t>
      </w:r>
    </w:p>
    <w:p>
      <w:pPr/>
      <w:br/>
      <w:r>
        <w:rPr/>
        <w:t xml:space="preserve">`</w:t>
      </w:r>
    </w:p>
    <w:p>
      <w:pPr/>
      <w:r>
        <w:rPr/>
        <w:t xml:space="preserve">Debat mengenai Reserves Nasional terjadi di tengah kekhawatiran yang lebih luas tentang meningkatnya kehadiran personel militer di lembaga sipil.</w:t>
      </w:r>
    </w:p>
    <w:p>
      <w:pPr/>
      <w:r>
        <w:rPr/>
        <w:t xml:space="preserve">Analis mencatat bahwa kehadiran tersebut akan memperkuat </w:t>
      </w:r>
      <w:hyperlink r:id="rId18" w:history="1">
        <w:r>
          <w:rPr/>
          <w:t xml:space="preserve">doktrin fungsi ganda</w:t>
        </w:r>
      </w:hyperlink>
      <w:r>
        <w:rPr/>
        <w:t xml:space="preserve"> militer era Soeharto. </w:t>
      </w:r>
    </w:p>
    <w:p>
      <w:pPr/>
      <w:br/>
      <w:r>
        <w:rPr/>
        <w:t xml:space="preserve">`</w:t>
      </w:r>
    </w:p>
    <w:p>
      <w:pPr/>
      <w:r>
        <w:rPr/>
        <w:t xml:space="preserve">Doktrin ini memungkinkan militer terlibat dalam urusan sipil dan militer. Lebih dari itu, selain </w:t>
      </w:r>
      <w:hyperlink r:id="rId19" w:history="1">
        <w:r>
          <w:rPr/>
          <w:t xml:space="preserve">penempatan perwira militer di posisi sipil</w:t>
        </w:r>
      </w:hyperlink>
      <w:r>
        <w:rPr/>
        <w:t xml:space="preserve">, komponen cadangan sebenarnya merupakan bentuk militerisasi sipil, termasuk pegawai negeri sipil.</w:t>
      </w:r>
    </w:p>
    <w:p>
      <w:pPr/>
      <w:br/>
      <w:r>
        <w:rPr/>
        <w:t xml:space="preserve">`</w:t>
      </w:r>
    </w:p>
    <w:p>
      <w:pPr/>
      <w:hyperlink r:id="rId20" w:history="1">
        <w:r>
          <w:rPr/>
          <w:t xml:space="preserve">Era pasca-Reformasi</w:t>
        </w:r>
      </w:hyperlink>
      <w:r>
        <w:rPr/>
        <w:t xml:space="preserve"> Indonesia berusaha untuk membongkar doktrin fungsi ganda lama dan memulihkan batas yang jelas antara domain sipil dan militer. Tentu saja, penyimpangan di masa lalu tidak boleh diulangi, di mana militer tidak hanya aktif dalam bidang pertahanan nasional tetapi juga terlibat dalam kegiatan sosial-politik.</w:t>
      </w:r>
    </w:p>
    <w:p>
      <w:pPr/>
      <w:br/>
      <w:r>
        <w:rPr/>
        <w:t xml:space="preserve">`</w:t>
      </w:r>
    </w:p>
    <w:p>
      <w:pPr/>
      <w:r>
        <w:rPr/>
        <w:t xml:space="preserve">Setiap usulan untuk mewajibkan partisipasi pegawai negeri sipil dalam cadangan nasional harus dipertimbangkan dengan cermat. Saat ini, masyarakat mengharapkan pegawai negeri sipil bekerja secara profesional, menjaga integritas dan kejujuran, serta menghindari korupsi, kolusi, dan nepotisme.</w:t>
      </w:r>
    </w:p>
    <w:p>
      <w:pPr/>
      <w:br/>
      <w:r>
        <w:rPr/>
        <w:t xml:space="preserve">`</w:t>
      </w:r>
    </w:p>
    <w:p>
      <w:pPr/>
      <w:r>
        <w:rPr/>
        <w:t xml:space="preserve">Pemerintah harus terus mendorong reformasi birokrasi, agenda yang masih menghadapi banyak tantangan. Bagi pegawai negeri sipil, bekerja secara profesional dan memegang prinsip tata kelola yang baik merupakan ekspresi utama pertahanan negara, sebagaimana diamanatkan oleh Undang-Undang Pertahanan MNRS.</w:t>
      </w:r>
    </w:p>
    <w:p>
      <w:pPr/>
      <w:br/>
      <w:r>
        <w:rPr/>
        <w:t xml:space="preserve">`</w:t>
      </w:r>
    </w:p>
    <w:p>
      <w:pPr/>
      <w:r>
        <w:rPr>
          <w:b w:val="1"/>
          <w:bCs w:val="1"/>
          <w:i w:val="1"/>
          <w:iCs w:val="1"/>
        </w:rPr>
        <w:t xml:space="preserve">Charles Simabura</w:t>
      </w:r>
      <w:r>
        <w:rPr>
          <w:i w:val="1"/>
          <w:iCs w:val="1"/>
        </w:rPr>
        <w:t xml:space="preserve"> adalah profesor associate dan Direktur Pusat Studi Konstitusi (</w:t>
      </w:r>
      <w:hyperlink r:id="rId21" w:history="1">
        <w:r>
          <w:rPr>
            <w:i w:val="1"/>
            <w:iCs w:val="1"/>
          </w:rPr>
          <w:t xml:space="preserve">PUSaKO</w:t>
        </w:r>
      </w:hyperlink>
      <w:r>
        <w:rPr>
          <w:i w:val="1"/>
          <w:iCs w:val="1"/>
        </w:rPr>
        <w:t xml:space="preserve">) Fakultas Hukum, Universitas Andalas</w:t>
      </w:r>
    </w:p>
    <w:p>
      <w:pPr/>
      <w:r>
        <w:rPr>
          <w:i w:val="1"/>
          <w:iCs w:val="1"/>
        </w:rPr>
        <w:t xml:space="preserve">Diterbitkan pertama kali di bawah lisensi</w:t>
      </w:r>
      <w:hyperlink r:id="rId22" w:history="1">
        <w:r>
          <w:rPr/>
          <w:t xml:space="preserve"> </w:t>
        </w:r>
      </w:hyperlink>
      <w:hyperlink r:id="rId22" w:history="1">
        <w:r>
          <w:rPr>
            <w:i w:val="1"/>
            <w:iCs w:val="1"/>
          </w:rPr>
          <w:t xml:space="preserve">Creative Commons</w:t>
        </w:r>
      </w:hyperlink>
      <w:r>
        <w:rPr>
          <w:i w:val="1"/>
          <w:iCs w:val="1"/>
        </w:rPr>
        <w:t xml:space="preserve"> oleh</w:t>
      </w:r>
      <w:hyperlink r:id="rId23" w:history="1">
        <w:r>
          <w:rPr/>
          <w:t xml:space="preserve"> </w:t>
        </w:r>
      </w:hyperlink>
      <w:hyperlink r:id="rId23"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4" w:history="1">
        <w:r>
          <w:rPr/>
          <w:t xml:space="preserve">pertama kali</w:t>
        </w:r>
      </w:hyperlink>
      <w:r>
        <w:rPr/>
        <w:t xml:space="preserve"> dipublikasikan tanggal 09 Mar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tempo.co/read/2086365/defense-ministry-details-reserve-training-for-civil-servants" TargetMode="External"/><Relationship Id="rId9" Type="http://schemas.openxmlformats.org/officeDocument/2006/relationships/hyperlink" Target="https://www.kompas.id/artikel/4000-asn-jadi-komcad-militerisasi-di-ranah-sipil" TargetMode="External"/><Relationship Id="rId10" Type="http://schemas.openxmlformats.org/officeDocument/2006/relationships/hyperlink" Target="https://peraturan-bpk-go-id.translate.goog/Details/123685/uu-no-23-tahun-2019?_x_tr_sl=auto&amp;_x_tr_tl=en&amp;_x_tr_hl=en-US&amp;_x_tr_pto=wapp" TargetMode="External"/><Relationship Id="rId11" Type="http://schemas.openxmlformats.org/officeDocument/2006/relationships/hyperlink" Target="https://en.tempo.co/read/2060318/former-tni-chief-reveals-reasons-indonesia-has-no-mandatory-military-service" TargetMode="External"/><Relationship Id="rId12" Type="http://schemas.openxmlformats.org/officeDocument/2006/relationships/hyperlink" Target="https://jdih.bapeten.go.id/unggah/dokumen/peraturan/116-full.pdf" TargetMode="External"/><Relationship Id="rId13" Type="http://schemas.openxmlformats.org/officeDocument/2006/relationships/hyperlink" Target="https://www-tempo-co.translate.goog/politik/apakah-komponen-cadangan-sama-dengan-wajib-militer--466626?_x_tr_sl=auto&amp;_x_tr_tl=en&amp;_x_tr_hl=en-US&amp;_x_tr_pto=wapp" TargetMode="External"/><Relationship Id="rId14" Type="http://schemas.openxmlformats.org/officeDocument/2006/relationships/hyperlink" Target="https://imparsial-org.translate.goog/menggugat-komponen-cadangan/?_x_tr_sl=auto&amp;_x_tr_tl=en&amp;_x_tr_hl=en-US&amp;_x_tr_pto=wapp" TargetMode="External"/><Relationship Id="rId15" Type="http://schemas.openxmlformats.org/officeDocument/2006/relationships/hyperlink" Target="https://unair-ac-id.translate.goog/pakar-hukum-unair-paparkan-potensi-arah-putusan-mk-dalam-perkara-pengujian-uu-psdn/?_x_tr_sl=auto&amp;_x_tr_tl=en&amp;_x_tr_hl=en-US&amp;_x_tr_pto=wapp" TargetMode="External"/><Relationship Id="rId16" Type="http://schemas.openxmlformats.org/officeDocument/2006/relationships/hyperlink" Target="https://www-kompas-id.translate.goog/artikel/ruu-psdn-munculkan-masalah-baru?_x_tr_sl=auto&amp;_x_tr_tl=en&amp;_x_tr_hl=en-US&amp;_x_tr_pto=wapp" TargetMode="External"/><Relationship Id="rId17" Type="http://schemas.openxmlformats.org/officeDocument/2006/relationships/hyperlink" Target="https://www-kompas-com.translate.goog/skola/read/2020/08/25/153000169/penyimpangan-terhadap-pancasila-pada-masa-orde-baru?_x_tr_sl=auto&amp;_x_tr_tl=en&amp;_x_tr_hl=en-US&amp;_x_tr_pto=wapp" TargetMode="External"/><Relationship Id="rId18" Type="http://schemas.openxmlformats.org/officeDocument/2006/relationships/hyperlink" Target="https://files01.core.ac.uk/download/pdf/36732044.pdf" TargetMode="External"/><Relationship Id="rId19" Type="http://schemas.openxmlformats.org/officeDocument/2006/relationships/hyperlink" Target="https://nasional-kompas-com.translate.goog/read/2025/10/20/13415761/imparsial-soroti-menguatnya-penempatan-prajurit-aktif-di-jabatan-sipil-pada?_x_tr_sl=auto&amp;_x_tr_tl=en&amp;_x_tr_hl=en-US&amp;_x_tr_pto=wapp" TargetMode="External"/><Relationship Id="rId20" Type="http://schemas.openxmlformats.org/officeDocument/2006/relationships/hyperlink" Target="https://jakartaglobe.id/news/20-years-since-beginning-of-reformasi-how-far-have-we-come" TargetMode="External"/><Relationship Id="rId21" Type="http://schemas.openxmlformats.org/officeDocument/2006/relationships/hyperlink" Target="https://pusako.unand.ac.id/" TargetMode="External"/><Relationship Id="rId22" Type="http://schemas.openxmlformats.org/officeDocument/2006/relationships/hyperlink" Target="https://creativecommons.org/licenses/by/4.0/" TargetMode="External"/><Relationship Id="rId23" Type="http://schemas.openxmlformats.org/officeDocument/2006/relationships/hyperlink" Target="https://360info.org" TargetMode="External"/><Relationship Id="rId24" Type="http://schemas.openxmlformats.org/officeDocument/2006/relationships/hyperlink" Target="https://360info.org/indonesias-civil-military-boundaries-under-new-press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2026-03-09T14:30:46+00:00</dcterms:created>
  <dcterms:modified xsi:type="dcterms:W3CDTF">2026-03-09T14:30:46+00:00</dcterms:modified>
</cp:coreProperties>
</file>

<file path=docProps/custom.xml><?xml version="1.0" encoding="utf-8"?>
<Properties xmlns="http://schemas.openxmlformats.org/officeDocument/2006/custom-properties" xmlns:vt="http://schemas.openxmlformats.org/officeDocument/2006/docPropsVTypes"/>
</file>