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saatnya untuk berpikir besar tentang reformasi pajak</w:t>
      </w:r>
    </w:p>
    <w:p>
      <w:pPr>
        <w:jc w:val="both"/>
      </w:pPr>
      <w:r>
        <w:rPr/>
        <w:t xml:space="preserve">Warga Australia telah dijanjikan langkah-langkah perpajakan cepat untuk meringankan tekanan biaya hidup. Sebaliknya, sudah saatnya untuk mereformasi dan menyederhanakan sistem perpajakan yang kompleks.</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Para pemimpin politik Australia telah melakukan perubahan-perubahan kecil pada sistem perpajakan selama kampanye pemilu federal ini, namun tidak mengusulkan reformasi jangka panjang.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Chloe Heiniger</w:t>
            </w:r>
            <w:r>
              <w:rPr/>
              <w:t xml:space="preserve"> - The Australian National University</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r>
              <w:rPr>
                <w:b w:val="1"/>
                <w:bCs w:val="1"/>
              </w:rPr>
              <w:t xml:space="preserve">Ashley Craig</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Warga Australia telah dijanjikan langkah-langkah perpajakan cepat untuk meringankan tekanan biaya hidup. Sebaliknya, sudah saatnya untuk mereformasi dan menyederhanakan sistem perpajakan yang kompleks.</w:t>
      </w:r>
    </w:p>
    <w:p>
      <w:pPr/>
      <w:br/>
      <w:r>
        <w:rPr/>
        <w:t xml:space="preserve">`</w:t>
      </w:r>
    </w:p>
    <w:p>
      <w:pPr/>
      <w:r>
        <w:rPr/>
        <w:t xml:space="preserve">Jika ada kampanye pemilu di mana ada kesempatan untuk berpikir besar tentang pajak — pada saat tekanan biaya hidup dan masalah jangka panjang seperti perumahan menjadi prioritas utama — 2025 adalah saatnya.</w:t>
      </w:r>
    </w:p>
    <w:p>
      <w:pPr/>
      <w:r>
        <w:rPr/>
        <w:t xml:space="preserve">Namun, para pemimpin politik Australia terlalu fokus pada jajak pendapat dan meninggalkan pembahasan pajak dalam mode jangka pendek.</w:t>
      </w:r>
    </w:p>
    <w:p>
      <w:pPr/>
      <w:r>
        <w:rPr/>
        <w:t xml:space="preserve">Politikus seharusnya memandang pembahasan ini dengan perspektif jangka panjang untuk membangun sistem pajak yang mendukung produktivitas, menjamin pendapatan untuk layanan esensial, mengurangi kompleksitas, dan memperbaiki kesenjangan kekayaan antar generasi.</w:t>
      </w:r>
    </w:p>
    <w:p>
      <w:pPr/>
      <w:r>
        <w:rPr/>
        <w:t xml:space="preserve">Alih-alih, janji-janji yang berfokus pada tujuan jangka pendek mendominasi tawaran dari partai-partai besar, sementara warga Australia hidup dengan sistem pajak yang terlalu kompleks dan membutuhkan pembaruan.</w:t>
      </w:r>
    </w:p>
    <w:p>
      <w:pPr/>
      <w:r>
        <w:rPr/>
        <w:t xml:space="preserve">Pemerintah Albanese mengumumkan serangkaian janji pajak dalam </w:t>
      </w:r>
      <w:hyperlink r:id="rId8" w:history="1">
        <w:r>
          <w:rPr/>
          <w:t xml:space="preserve">Anggaran</w:t>
        </w:r>
      </w:hyperlink>
      <w:r>
        <w:rPr/>
        <w:t xml:space="preserve"> </w:t>
      </w:r>
      <w:hyperlink r:id="rId8" w:history="1">
        <w:r>
          <w:rPr/>
          <w:t xml:space="preserve">2025-26</w:t>
        </w:r>
      </w:hyperlink>
      <w:r>
        <w:rPr/>
        <w:t xml:space="preserve">. Koalisi segera mengikuti jejak tersebut dalam pidato </w:t>
      </w:r>
      <w:hyperlink r:id="rId9" w:history="1">
        <w:r>
          <w:rPr/>
          <w:t xml:space="preserve">tanggapan Anggaran</w:t>
        </w:r>
      </w:hyperlink>
      <w:r>
        <w:rPr/>
        <w:t xml:space="preserve"> Peter Dutton.</w:t>
      </w:r>
    </w:p>
    <w:p>
      <w:pPr/>
      <w:r>
        <w:rPr/>
        <w:t xml:space="preserve">Dalam beberapa minggu terakhir, kedua pemimpin partai besar terlibat dalam pertukaran argumen yang berulang-ulang terkait insentif pajak.</w:t>
      </w:r>
    </w:p>
    <w:p>
      <w:pPr/>
      <w:r>
        <w:rPr/>
        <w:t xml:space="preserve">Banyak pembahasan berpusat pada upaya meringankan beban pajak penghasilan pribadi, terutama bagi mereka yang berpenghasilan rendah dan menengah.</w:t>
      </w:r>
    </w:p>
    <w:p>
      <w:pPr>
        <w:pStyle w:val="Heading5"/>
      </w:pPr>
      <w:r>
        <w:rPr/>
        <w:t xml:space="preserve">Beberapa tawaran</w:t>
      </w:r>
    </w:p>
    <w:p>
      <w:pPr>
        <w:pStyle w:val="Heading5"/>
      </w:pPr>
      <w:hyperlink r:id="rId8" w:history="1">
        <w:r>
          <w:rPr/>
          <w:t xml:space="preserve">Anggaran</w:t>
        </w:r>
      </w:hyperlink>
      <w:r>
        <w:rPr/>
        <w:t xml:space="preserve"> tahun ini mencakup sebagian besar kebijakan pajak Partai Buruh.</w:t>
      </w:r>
    </w:p>
    <w:p>
      <w:pPr>
        <w:pStyle w:val="Heading5"/>
      </w:pPr>
      <w:r>
        <w:rPr/>
        <w:t xml:space="preserve">Partai Buruh menawarkan pemotongan pajak penghasilan pribadi tambahan yang akan diberlakukan mulai tahun depan, dengan pekerja diperkirakan akan mendapat manfaat sebesar $536 pada tahun 2027-28, melengkapi </w:t>
      </w:r>
      <w:hyperlink r:id="rId10" w:history="1">
        <w:r>
          <w:rPr/>
          <w:t xml:space="preserve">putaran</w:t>
        </w:r>
      </w:hyperlink>
      <w:r>
        <w:rPr/>
        <w:t xml:space="preserve"> </w:t>
      </w:r>
      <w:hyperlink r:id="rId10" w:history="1">
        <w:r>
          <w:rPr/>
          <w:t xml:space="preserve">pertama pemotongan yang</w:t>
        </w:r>
      </w:hyperlink>
      <w:r>
        <w:rPr/>
        <w:t xml:space="preserve"> diterapkan oleh pemerintah Albanese untuk tahun 2024-25.</w:t>
      </w:r>
    </w:p>
    <w:p>
      <w:pPr>
        <w:pStyle w:val="Heading5"/>
      </w:pPr>
      <w:r>
        <w:rPr/>
        <w:t xml:space="preserve">Batasan penghasilan rendah untuk pungutan Medicare juga akan ditingkatkan, sehingga lebih banyak warga Australia berpenghasilan rendah terbebas dari pungutan tersebut.</w:t>
      </w:r>
    </w:p>
    <w:p>
      <w:pPr>
        <w:pStyle w:val="Heading5"/>
      </w:pPr>
      <w:r>
        <w:rPr/>
        <w:t xml:space="preserve">Baru-baru ini, Partai Buruh menjanjikan </w:t>
      </w:r>
      <w:hyperlink r:id="rId11" w:history="1">
        <w:r>
          <w:rPr/>
          <w:t xml:space="preserve">potongan pajak instan</w:t>
        </w:r>
      </w:hyperlink>
      <w:r>
        <w:rPr/>
        <w:t xml:space="preserve"> sebesar </w:t>
      </w:r>
      <w:hyperlink r:id="rId11" w:history="1">
        <w:r>
          <w:rPr/>
          <w:t xml:space="preserve">$1.000</w:t>
        </w:r>
      </w:hyperlink>
      <w:r>
        <w:rPr/>
        <w:t xml:space="preserve"> mulai tahun 2026-27 untuk pengeluaran terkait pekerjaan.</w:t>
      </w:r>
    </w:p>
    <w:p>
      <w:pPr>
        <w:pStyle w:val="Heading5"/>
      </w:pPr>
      <w:r>
        <w:rPr/>
        <w:t xml:space="preserve">Partai Buruh juga menyatakan akan </w:t>
      </w:r>
      <w:hyperlink r:id="rId12" w:history="1">
        <w:r>
          <w:rPr/>
          <w:t xml:space="preserve">memperpanjang</w:t>
        </w:r>
      </w:hyperlink>
      <w:r>
        <w:rPr/>
        <w:t xml:space="preserve"> pengurangan aset instan selama 12 bulan dan menaikkan batasnya menjadi $20.000 untuk usaha kecil.</w:t>
      </w:r>
    </w:p>
    <w:p>
      <w:pPr>
        <w:pStyle w:val="Heading5"/>
      </w:pPr>
      <w:r>
        <w:rPr/>
        <w:t xml:space="preserve">Koalisi mengatakan akan </w:t>
      </w:r>
      <w:hyperlink r:id="rId9" w:history="1">
        <w:r>
          <w:rPr/>
          <w:t xml:space="preserve">memangkas setengah tarif pajak bahan bakar</w:t>
        </w:r>
      </w:hyperlink>
      <w:r>
        <w:rPr/>
        <w:t xml:space="preserve"> selama 12 bulan, diperkirakan akan menghemat sekitar $700 per minggu bagi sebagian besar rumah tangga. Penghapusan aset instan juga akan diperpanjang secara permanen dan ditingkatkan menjadi $30.000.</w:t>
      </w:r>
    </w:p>
    <w:p>
      <w:pPr>
        <w:pStyle w:val="Heading5"/>
      </w:pPr>
      <w:r>
        <w:rPr/>
        <w:t xml:space="preserve">Wajib pajak dengan penghasilan hingga $144.000 per tahun berhak menerima </w:t>
      </w:r>
      <w:hyperlink r:id="rId13" w:history="1">
        <w:r>
          <w:rPr/>
          <w:t xml:space="preserve">pengurangan</w:t>
        </w:r>
      </w:hyperlink>
      <w:r>
        <w:rPr/>
        <w:t xml:space="preserve"> </w:t>
      </w:r>
      <w:hyperlink r:id="rId13" w:history="1">
        <w:r>
          <w:rPr/>
          <w:t xml:space="preserve">pajak hingga $1.200,</w:t>
        </w:r>
      </w:hyperlink>
      <w:r>
        <w:rPr/>
        <w:t xml:space="preserve"> sementara pembayaran bunga atas $650.000 pertama dari pinjaman hipotek juga dapat </w:t>
      </w:r>
      <w:hyperlink r:id="rId14" w:history="1">
        <w:r>
          <w:rPr/>
          <w:t xml:space="preserve">dikurangkan</w:t>
        </w:r>
      </w:hyperlink>
      <w:r>
        <w:rPr/>
        <w:t xml:space="preserve"> </w:t>
      </w:r>
      <w:hyperlink r:id="rId14" w:history="1">
        <w:r>
          <w:rPr/>
          <w:t xml:space="preserve">dari pajak</w:t>
        </w:r>
      </w:hyperlink>
      <w:r>
        <w:rPr/>
        <w:t xml:space="preserve"> bagi banyak pembeli rumah pertama.</w:t>
      </w:r>
    </w:p>
    <w:p>
      <w:pPr>
        <w:pStyle w:val="Heading5"/>
      </w:pPr>
      <w:r>
        <w:rPr/>
        <w:t xml:space="preserve">Partai Hijau telah mengambil </w:t>
      </w:r>
      <w:hyperlink r:id="rId15" w:history="1">
        <w:r>
          <w:rPr/>
          <w:t xml:space="preserve">peran</w:t>
        </w:r>
      </w:hyperlink>
      <w:r>
        <w:rPr/>
        <w:t xml:space="preserve"> </w:t>
      </w:r>
      <w:hyperlink r:id="rId15" w:history="1">
        <w:r>
          <w:rPr/>
          <w:t xml:space="preserve">Robin Hood</w:t>
        </w:r>
      </w:hyperlink>
      <w:r>
        <w:rPr/>
        <w:t xml:space="preserve"> dalam reformasi pajak, mengadvokasi sistem yang lebih adil dan progresif. Mereka ingin 150 miliarder Australia membayar </w:t>
      </w:r>
      <w:hyperlink r:id="rId16" w:history="1">
        <w:r>
          <w:rPr/>
          <w:t xml:space="preserve">pajak</w:t>
        </w:r>
      </w:hyperlink>
      <w:r>
        <w:rPr/>
        <w:t xml:space="preserve"> </w:t>
      </w:r>
      <w:hyperlink r:id="rId16" w:history="1">
        <w:r>
          <w:rPr/>
          <w:t xml:space="preserve">tahunan 10 persen</w:t>
        </w:r>
      </w:hyperlink>
      <w:r>
        <w:rPr/>
        <w:t xml:space="preserve"> atas kekayaan bersih mereka dan perusahaan besar membayar </w:t>
      </w:r>
      <w:hyperlink r:id="rId17" w:history="1">
        <w:r>
          <w:rPr/>
          <w:t xml:space="preserve">pajak</w:t>
        </w:r>
      </w:hyperlink>
      <w:r>
        <w:rPr/>
        <w:t xml:space="preserve"> </w:t>
      </w:r>
      <w:hyperlink r:id="rId17" w:history="1">
        <w:r>
          <w:rPr/>
          <w:t xml:space="preserve">40 persen</w:t>
        </w:r>
      </w:hyperlink>
      <w:r>
        <w:rPr/>
        <w:t xml:space="preserve"> atas keuntungan berlebihan.</w:t>
      </w:r>
    </w:p>
    <w:p>
      <w:pPr>
        <w:pStyle w:val="Heading5"/>
      </w:pPr>
      <w:r>
        <w:rPr/>
        <w:t xml:space="preserve">Mereka juga akan menekan pemerintah Partai Buruh untuk mengejar </w:t>
      </w:r>
      <w:hyperlink r:id="rId18" w:history="1">
        <w:r>
          <w:rPr/>
          <w:t xml:space="preserve">reformasi pajak negatif dan pajak keuntungan modal</w:t>
        </w:r>
      </w:hyperlink>
      <w:r>
        <w:rPr/>
        <w:t xml:space="preserve">.</w:t>
      </w:r>
    </w:p>
    <w:p>
      <w:pPr>
        <w:pStyle w:val="Heading5"/>
      </w:pPr>
      <w:r>
        <w:rPr/>
        <w:t xml:space="preserve">Hanya Anggota Parlemen Independen Allegra Spender yang mendorong debat menuju reformasi pajak yang luas.</w:t>
      </w:r>
    </w:p>
    <w:p>
      <w:pPr>
        <w:pStyle w:val="Heading5"/>
      </w:pPr>
      <w:r>
        <w:rPr/>
        <w:t xml:space="preserve">Spender, dalam </w:t>
      </w:r>
      <w:hyperlink r:id="rId19" w:history="1">
        <w:r>
          <w:rPr/>
          <w:t xml:space="preserve">dokumen Tax Green Paper</w:t>
        </w:r>
      </w:hyperlink>
      <w:r>
        <w:rPr/>
        <w:t xml:space="preserve">-nya, mengidentifikasi masalah utama yang harus diatasi oleh reformasi pajak, merinci perubahan pajak utama yang diidentifikasi oleh para ahli dan pemangku kepentingan, serta mempromosikan proses untuk mencapai reformasi di parlemen berikutnya.</w:t>
      </w:r>
    </w:p>
    <w:p>
      <w:pPr>
        <w:pStyle w:val="Heading5"/>
      </w:pPr>
      <w:r>
        <w:rPr/>
        <w:t xml:space="preserve">Mendorong produktivitas</w:t>
      </w:r>
    </w:p>
    <w:p>
      <w:pPr>
        <w:pStyle w:val="Heading5"/>
      </w:pPr>
      <w:r>
        <w:rPr/>
        <w:t xml:space="preserve">Orang Australia sedang mengalami kesulitan. Upah riil </w:t>
      </w:r>
      <w:hyperlink r:id="rId20" w:history="1">
        <w:r>
          <w:rPr/>
          <w:t xml:space="preserve">4,8 persen lebih rendah</w:t>
        </w:r>
      </w:hyperlink>
      <w:r>
        <w:rPr/>
        <w:t xml:space="preserve"> dari level pra-pandemi dan inflasi </w:t>
      </w:r>
      <w:hyperlink r:id="rId21" w:history="1">
        <w:r>
          <w:rPr/>
          <w:t xml:space="preserve">baru mulai mereda</w:t>
        </w:r>
      </w:hyperlink>
      <w:r>
        <w:rPr/>
        <w:t xml:space="preserve">.</w:t>
      </w:r>
    </w:p>
    <w:p>
      <w:pPr>
        <w:pStyle w:val="Heading5"/>
      </w:pPr>
      <w:r>
        <w:rPr/>
        <w:t xml:space="preserve">Salah satu faktor utama pertumbuhan upah riil adalah peningkatan produktivitas — ketika orang dapat menyelesaikan lebih banyak pekerjaan dalam waktu yang lebih singkat, tekanan untuk mendapatkan upah yang lebih baik semakin besar — namun pertumbuhan produktivitas Australia dari 2010 hingga 2020 adalah yang terendah dalam </w:t>
      </w:r>
      <w:hyperlink r:id="rId22" w:history="1">
        <w:r>
          <w:rPr/>
          <w:t xml:space="preserve">60 tahun</w:t>
        </w:r>
      </w:hyperlink>
      <w:r>
        <w:rPr/>
        <w:t xml:space="preserve">.</w:t>
      </w:r>
    </w:p>
    <w:p>
      <w:pPr>
        <w:pStyle w:val="Heading5"/>
      </w:pPr>
      <w:r>
        <w:rPr/>
        <w:t xml:space="preserve">Sistem pajak saat ini bertindak sebagai penghambat produktivitas, karena pajak yang dirancang buruk dapat meredam insentif kerja.</w:t>
      </w:r>
    </w:p>
    <w:p>
      <w:pPr>
        <w:pStyle w:val="Heading5"/>
      </w:pPr>
      <w:r>
        <w:rPr/>
        <w:t xml:space="preserve">Transisi dari pajak stamp duty ke pajak properti tahunan yang luas mungkin dapat meningkatkan tingkat produktivitas.</w:t>
      </w:r>
    </w:p>
    <w:p>
      <w:pPr>
        <w:pStyle w:val="Heading5"/>
      </w:pPr>
      <w:r>
        <w:rPr/>
        <w:t xml:space="preserve">Pajak </w:t>
      </w:r>
      <w:hyperlink r:id="rId23" w:history="1">
        <w:r>
          <w:rPr/>
          <w:t xml:space="preserve">stamp duty</w:t>
        </w:r>
      </w:hyperlink>
      <w:r>
        <w:rPr/>
        <w:t xml:space="preserve"> adalah pajak yang dikenakan atas transfer properti, sementara </w:t>
      </w:r>
      <w:hyperlink r:id="rId23" w:history="1">
        <w:r>
          <w:rPr/>
          <w:t xml:space="preserve">pajak properti</w:t>
        </w:r>
      </w:hyperlink>
      <w:r>
        <w:rPr/>
        <w:t xml:space="preserve"> adalah pungutan tahunan yang dikenakan atas nilai properti itu sendiri.</w:t>
      </w:r>
    </w:p>
    <w:p>
      <w:pPr>
        <w:pStyle w:val="Heading5"/>
      </w:pPr>
      <w:r>
        <w:rPr/>
        <w:t xml:space="preserve">Pajak stamp duty menciptakan </w:t>
      </w:r>
      <w:hyperlink r:id="rId24" w:history="1">
        <w:r>
          <w:rPr/>
          <w:t xml:space="preserve">disinsentif</w:t>
        </w:r>
      </w:hyperlink>
      <w:r>
        <w:rPr/>
        <w:t xml:space="preserve"> </w:t>
      </w:r>
      <w:hyperlink r:id="rId24" w:history="1">
        <w:r>
          <w:rPr/>
          <w:t xml:space="preserve">yang kuat</w:t>
        </w:r>
      </w:hyperlink>
      <w:r>
        <w:rPr/>
        <w:t xml:space="preserve"> untuk berpindah. Orang-orang enggan untuk memperbesar atau memperkecil properti, atau bahkan pindah untuk pekerjaan yang lebih baik. Kementerian Keuangan memperkirakan bahwa penerapan pajak stamp duty mengurangi aktivitas ekonomi sebesar </w:t>
      </w:r>
      <w:hyperlink r:id="rId25" w:history="1">
        <w:r>
          <w:rPr/>
          <w:t xml:space="preserve">72 sen</w:t>
        </w:r>
      </w:hyperlink>
      <w:r>
        <w:rPr/>
        <w:t xml:space="preserve"> untuk setiap dolar yang dikumpulkan.</w:t>
      </w:r>
    </w:p>
    <w:p>
      <w:pPr>
        <w:pStyle w:val="Heading5"/>
      </w:pPr>
      <w:r>
        <w:rPr/>
        <w:t xml:space="preserve">Pajak properti tahunan yang luas dan merata akan lebih adil, efisien, dan menghilangkan hambatan besar untuk berpindah.</w:t>
      </w:r>
    </w:p>
    <w:p>
      <w:pPr>
        <w:pStyle w:val="Heading5"/>
      </w:pPr>
      <w:r>
        <w:rPr/>
        <w:t xml:space="preserve">Reformasi pajak tidak akan menyelesaikan semua masalah, tetapi mungkin memberikan dorongan yang sangat dibutuhkan bagi produktivitas dan ekonomi.</w:t>
      </w:r>
    </w:p>
    <w:p>
      <w:pPr>
        <w:pStyle w:val="Heading5"/>
      </w:pPr>
      <w:r>
        <w:rPr/>
        <w:t xml:space="preserve">Menguatkan kas negara</w:t>
      </w:r>
    </w:p>
    <w:p>
      <w:pPr>
        <w:pStyle w:val="Heading5"/>
      </w:pPr>
      <w:r>
        <w:rPr/>
        <w:t xml:space="preserve">Australia mungkin perlu menguras tabungan untuk menghadapi beberapa tantangan keuangan besar di masa depan.</w:t>
      </w:r>
    </w:p>
    <w:p>
      <w:pPr>
        <w:pStyle w:val="Heading5"/>
      </w:pPr>
      <w:r>
        <w:rPr/>
        <w:t xml:space="preserve">Pengeluaran untuk </w:t>
      </w:r>
      <w:hyperlink r:id="rId26" w:history="1">
        <w:r>
          <w:rPr/>
          <w:t xml:space="preserve">NDIS, pertahanan, perawatan lansia, dan perubahan iklim</w:t>
        </w:r>
      </w:hyperlink>
      <w:r>
        <w:rPr/>
        <w:t xml:space="preserve"> diperkirakan akan meningkat secara bertahap selama dekade mendatang.</w:t>
      </w:r>
    </w:p>
    <w:p>
      <w:pPr>
        <w:pStyle w:val="Heading5"/>
      </w:pPr>
      <w:r>
        <w:rPr/>
        <w:t xml:space="preserve">Australia diperkirakan akan mengalami defisit anggaran hingga </w:t>
      </w:r>
      <w:hyperlink r:id="rId27" w:history="1">
        <w:r>
          <w:rPr/>
          <w:t xml:space="preserve">tahun 2028-29</w:t>
        </w:r>
      </w:hyperlink>
      <w:r>
        <w:rPr/>
        <w:t xml:space="preserve">. Dan negara ini </w:t>
      </w:r>
      <w:hyperlink r:id="rId28" w:history="1">
        <w:r>
          <w:rPr/>
          <w:t xml:space="preserve">sangat bergantung</w:t>
        </w:r>
      </w:hyperlink>
      <w:r>
        <w:rPr/>
        <w:t xml:space="preserve"> pada pajak penghasilan, meskipun semakin banyak warga Australia yang memasuki masa </w:t>
      </w:r>
      <w:hyperlink r:id="rId23" w:history="1">
        <w:r>
          <w:rPr/>
          <w:t xml:space="preserve">pensiun</w:t>
        </w:r>
      </w:hyperlink>
      <w:r>
        <w:rPr/>
        <w:t xml:space="preserve">.</w:t>
      </w:r>
    </w:p>
    <w:p>
      <w:pPr>
        <w:pStyle w:val="Heading5"/>
      </w:pPr>
      <w:r>
        <w:rPr/>
        <w:t xml:space="preserve">Untuk memastikan keberlanjutan anggaran, Australia dapat beralih ke sumber pendapatan yang lebih berkelanjutan </w:t>
      </w:r>
      <w:hyperlink r:id="rId29" w:history="1">
        <w:r>
          <w:rPr/>
          <w:t xml:space="preserve">seperti GST</w:t>
        </w:r>
      </w:hyperlink>
      <w:r>
        <w:rPr/>
        <w:t xml:space="preserve">.</w:t>
      </w:r>
    </w:p>
    <w:p>
      <w:pPr>
        <w:pStyle w:val="Heading5"/>
      </w:pPr>
      <w:r>
        <w:rPr/>
        <w:t xml:space="preserve">Karena adanya berbagai pengecualian dan masalah kepatuhan, Australia hanya mengumpulkan sekitar </w:t>
      </w:r>
      <w:hyperlink r:id="rId23" w:history="1">
        <w:r>
          <w:rPr/>
          <w:t xml:space="preserve">setengah dari potensi pendapatan</w:t>
        </w:r>
      </w:hyperlink>
      <w:r>
        <w:rPr/>
        <w:t xml:space="preserve"> dari GST.</w:t>
      </w:r>
    </w:p>
    <w:p>
      <w:pPr>
        <w:pStyle w:val="Heading5"/>
      </w:pPr>
      <w:r>
        <w:rPr/>
        <w:t xml:space="preserve">Sejak GST diperkenalkan pada tahun 2000, tidak ada perubahan tarif yang dilakukan. Selain itu, basis pajak GST juga tidak diperluas, sehingga GST kurang komprehensif </w:t>
      </w:r>
      <w:hyperlink r:id="rId30" w:history="1">
        <w:r>
          <w:rPr/>
          <w:t xml:space="preserve">dibandingkan pajak serupa di negara-negara OECD lainnya</w:t>
        </w:r>
      </w:hyperlink>
      <w:r>
        <w:rPr/>
        <w:t xml:space="preserve">.</w:t>
      </w:r>
    </w:p>
    <w:p>
      <w:pPr>
        <w:pStyle w:val="Heading5"/>
      </w:pPr>
      <w:r>
        <w:rPr/>
        <w:t xml:space="preserve">GST mewakili potensi yang belum termanfaatkan untuk sumber pendapatan yang andal dan signifikan.</w:t>
      </w:r>
    </w:p>
    <w:p>
      <w:pPr>
        <w:pStyle w:val="Heading5"/>
      </w:pPr>
      <w:r>
        <w:rPr/>
        <w:t xml:space="preserve">Baik dengan menaikkan tarif, atau lebih baik lagi dengan memperluas basis barang dan jasa yang dikenakan pajak, akan melindungi pengumpulan pendapatan tanpa harus menaikkan tarif pajak penghasilan untuk mengikuti pertumbuhan populasi yang menua.</w:t>
      </w:r>
    </w:p>
    <w:p>
      <w:pPr>
        <w:pStyle w:val="Heading5"/>
      </w:pPr>
      <w:r>
        <w:rPr/>
        <w:t xml:space="preserve">Jaga kesederhanaannya</w:t>
      </w:r>
    </w:p>
    <w:p>
      <w:pPr>
        <w:pStyle w:val="Heading5"/>
      </w:pPr>
      <w:r>
        <w:rPr/>
        <w:t xml:space="preserve">Tidak diragukan lagi bahwa Australia memiliki sistem pajak yang rumit. Undang-undang untuk pajak penghasilan dan manfaat tambahan saja mencapai </w:t>
      </w:r>
      <w:hyperlink r:id="rId26" w:history="1">
        <w:r>
          <w:rPr/>
          <w:t xml:space="preserve">8.108 halaman</w:t>
        </w:r>
      </w:hyperlink>
      <w:r>
        <w:rPr/>
        <w:t xml:space="preserve">.</w:t>
      </w:r>
    </w:p>
    <w:p>
      <w:pPr>
        <w:pStyle w:val="Heading5"/>
      </w:pPr>
      <w:r>
        <w:rPr/>
        <w:t xml:space="preserve">Menyederhanakannya akan mengurangi biaya yang ditanggung oleh wajib pajak serta membangun kepercayaan terhadap sistem, menciptakan lingkaran umpan balik positif untuk kepatuhan.</w:t>
      </w:r>
    </w:p>
    <w:p>
      <w:pPr>
        <w:pStyle w:val="Heading5"/>
      </w:pPr>
      <w:r>
        <w:rPr/>
        <w:t xml:space="preserve">Pajak atas alkohol hanyalah salah satu contoh.</w:t>
      </w:r>
    </w:p>
    <w:p>
      <w:pPr>
        <w:pStyle w:val="Heading5"/>
      </w:pPr>
      <w:r>
        <w:rPr/>
        <w:t xml:space="preserve">Bir dan minuman beralkohol dikenakan pajak berdasarkan volume kandungan alkoholnya. Namun, hal ini bervariasi tergantung pada faktor-faktor seperti </w:t>
      </w:r>
      <w:hyperlink r:id="rId31" w:history="1">
        <w:r>
          <w:rPr/>
          <w:t xml:space="preserve">jenis alkohol, konsentrasi, dan kemasan</w:t>
        </w:r>
      </w:hyperlink>
      <w:r>
        <w:rPr/>
        <w:t xml:space="preserve">.</w:t>
      </w:r>
    </w:p>
    <w:p>
      <w:pPr>
        <w:pStyle w:val="Heading5"/>
      </w:pPr>
      <w:r>
        <w:rPr/>
        <w:t xml:space="preserve">Seolah-olah kantor pajak memiliki sommelier rahasia yang menentukan tarifnya.</w:t>
      </w:r>
    </w:p>
    <w:p>
      <w:pPr>
        <w:pStyle w:val="Heading5"/>
      </w:pPr>
      <w:r>
        <w:rPr/>
        <w:t xml:space="preserve">Ada argumen kuat bahwa </w:t>
      </w:r>
      <w:hyperlink r:id="rId31" w:history="1">
        <w:r>
          <w:rPr/>
          <w:t xml:space="preserve">tarif berbasis volume</w:t>
        </w:r>
      </w:hyperlink>
      <w:r>
        <w:rPr/>
        <w:t xml:space="preserve"> </w:t>
      </w:r>
      <w:hyperlink r:id="rId31" w:history="1">
        <w:r>
          <w:rPr/>
          <w:t xml:space="preserve">tunggal</w:t>
        </w:r>
      </w:hyperlink>
      <w:r>
        <w:rPr/>
        <w:t xml:space="preserve"> akan lebih sederhana dan lebih masuk akal.</w:t>
      </w:r>
    </w:p>
    <w:p>
      <w:pPr>
        <w:pStyle w:val="Heading5"/>
      </w:pPr>
      <w:r>
        <w:rPr/>
        <w:t xml:space="preserve">Keadilan</w:t>
      </w:r>
    </w:p>
    <w:p>
      <w:pPr>
        <w:pStyle w:val="Heading5"/>
      </w:pPr>
      <w:r>
        <w:rPr/>
        <w:t xml:space="preserve">Jika Australia seharusnya memberikan kesempatan yang adil bagi semua orang, negara ini gagal mendukung anggota masyarakat yang rentan.</w:t>
      </w:r>
    </w:p>
    <w:p>
      <w:pPr>
        <w:pStyle w:val="Heading5"/>
      </w:pPr>
      <w:hyperlink r:id="rId32" w:history="1">
        <w:r>
          <w:rPr/>
          <w:t xml:space="preserve">Porsi pajak</w:t>
        </w:r>
      </w:hyperlink>
      <w:hyperlink r:id="rId32" w:history="1">
        <w:r>
          <w:rPr/>
          <w:t xml:space="preserve">yang</w:t>
        </w:r>
      </w:hyperlink>
      <w:r>
        <w:rPr/>
        <w:t xml:space="preserve"> dibayarkan oleh rumah tangga usia kerja rata-rata telah meningkat, tetapi porsi yang dibayarkan oleh mereka yang berusia di atas 65 tahun telah menurun. Rumah tangga lanjut usia memiliki </w:t>
      </w:r>
      <w:hyperlink r:id="rId33" w:history="1">
        <w:r>
          <w:rPr/>
          <w:t xml:space="preserve">kekayaan</w:t>
        </w:r>
      </w:hyperlink>
      <w:r>
        <w:rPr/>
        <w:t xml:space="preserve"> hampir </w:t>
      </w:r>
      <w:hyperlink r:id="rId33" w:history="1">
        <w:r>
          <w:rPr/>
          <w:t xml:space="preserve">empat kali lipat</w:t>
        </w:r>
      </w:hyperlink>
      <w:r>
        <w:rPr/>
        <w:t xml:space="preserve"> dibandingkan rumah tangga tipikal berusia 35 hingga 44 tahun.</w:t>
      </w:r>
    </w:p>
    <w:p>
      <w:pPr>
        <w:pStyle w:val="Heading5"/>
      </w:pPr>
      <w:r>
        <w:rPr/>
        <w:t xml:space="preserve">Inisiatif kebijakan terbaru di Australia dalam beberapa kasus bersifat regresif dan tidak efisien. Misalnya, subsidi agresif untuk kendaraan listrik sebagian besar mengalihkan sumber daya ke rumah tangga yang berkecukupan, yang sebenarnya akan membeli kendaraan tersebut meskipun tanpa subsidi.</w:t>
      </w:r>
    </w:p>
    <w:p>
      <w:pPr>
        <w:pStyle w:val="Heading5"/>
      </w:pPr>
      <w:r>
        <w:rPr/>
        <w:t xml:space="preserve">Demikian pula, pengampunan utang sekali waktu untuk pemegang utang HECS hanyalah transfer ke kelompok orang yang berpendidikan tinggi yang pada dasarnya akan melunasi utang mereka karena memiliki penghasilan tinggi di kemudian hari.</w:t>
      </w:r>
    </w:p>
    <w:p>
      <w:pPr>
        <w:pStyle w:val="Heading5"/>
      </w:pPr>
      <w:r>
        <w:rPr/>
        <w:t xml:space="preserve">Untuk mengatasi krisis keterjangkauan perumahan, beberapa reformasi terbatas telah diusulkan oleh partai-partai besar. Namun, reformasi ini belum mendekati penyelesaian kendala pasokan dalam konstruksi. Beberapa inisiatif — seperti kebijakan Partai Buruh untuk menjamin sebagian pinjaman rumah — hanya akan mendorong harga naik lebih lanjut.</w:t>
      </w:r>
    </w:p>
    <w:p>
      <w:pPr>
        <w:pStyle w:val="Heading5"/>
      </w:pPr>
      <w:r>
        <w:rPr/>
        <w:t xml:space="preserve">Para ahli menyarankan </w:t>
      </w:r>
      <w:hyperlink r:id="rId34" w:history="1">
        <w:r>
          <w:rPr/>
          <w:t xml:space="preserve">penghapusan diskon pajak capital gains</w:t>
        </w:r>
      </w:hyperlink>
      <w:r>
        <w:rPr/>
        <w:t xml:space="preserve"> bersamaan </w:t>
      </w:r>
      <w:hyperlink r:id="rId34" w:history="1">
        <w:r>
          <w:rPr/>
          <w:t xml:space="preserve">dengan</w:t>
        </w:r>
      </w:hyperlink>
      <w:r>
        <w:rPr/>
        <w:t xml:space="preserve"> </w:t>
      </w:r>
      <w:hyperlink r:id="rId35" w:history="1">
        <w:r>
          <w:rPr/>
          <w:t xml:space="preserve">pengenalan pajak properti yang luas</w:t>
        </w:r>
      </w:hyperlink>
      <w:r>
        <w:rPr/>
        <w:t xml:space="preserve"> dari perspektif pajak untuk membantu.</w:t>
      </w:r>
    </w:p>
    <w:p>
      <w:pPr>
        <w:pStyle w:val="Heading5"/>
      </w:pPr>
      <w:r>
        <w:rPr/>
        <w:t xml:space="preserve">Membangun masa depan yang sejahtera bagi Australia, sambil mengatasi tantangan seperti ketidaksetaraan antar generasi dan keterjangkauan perumahan, akan memerlukan reformasi yang lebih mendasar dan kebijakan yang lebih ambisius.</w:t>
      </w:r>
    </w:p>
    <w:p>
      <w:pPr>
        <w:pStyle w:val="Heading5"/>
      </w:pPr>
      <w:r>
        <w:rPr/>
        <w:t xml:space="preserve">Semoga hal ini dapat diwujudkan oleh parlemen Australia berikutnya.</w:t>
      </w:r>
    </w:p>
    <w:p>
      <w:pPr>
        <w:pStyle w:val="Heading5"/>
      </w:pPr>
      <w:r>
        <w:rPr>
          <w:b w:val="1"/>
          <w:bCs w:val="1"/>
          <w:i w:val="1"/>
          <w:iCs w:val="1"/>
        </w:rPr>
        <w:t xml:space="preserve">Chloe Heiniger</w:t>
      </w:r>
      <w:r>
        <w:rPr>
          <w:i w:val="1"/>
          <w:iCs w:val="1"/>
        </w:rPr>
        <w:t xml:space="preserve"> memiliki gelar Sarjana Ekonomi dan sedang menempuh tahun terakhir program Sarjana Hukum (Dengan Pujian). Ia bekerja sebagai asisten peneliti di Institut Kebijakan Pajak dan Transfer di Universitas Nasional Australia dan memiliki minat kuat dalam bidang perpajakan dan ekonomi pembangunan.</w:t>
      </w:r>
    </w:p>
    <w:p>
      <w:pPr>
        <w:pStyle w:val="Heading5"/>
      </w:pPr>
      <w:r>
        <w:rPr>
          <w:b w:val="1"/>
          <w:bCs w:val="1"/>
          <w:i w:val="1"/>
          <w:iCs w:val="1"/>
        </w:rPr>
        <w:t xml:space="preserve">Dr Ashley Craig</w:t>
      </w:r>
      <w:r>
        <w:rPr>
          <w:i w:val="1"/>
          <w:iCs w:val="1"/>
        </w:rPr>
        <w:t xml:space="preserve"> adalah Dosen Senior dalam bidang ekonomi dan Fellow Penelitian John Mitchell di Universitas Nasional Australia. Penelitiannya mencakup ekonomi publik dan ekonomi tenaga kerja, dengan fokus khusus pada pendidikan, perpajakan, dan ketidaksetaraan.</w:t>
      </w:r>
    </w:p>
    <w:p>
      <w:pPr>
        <w:pStyle w:val="Heading5"/>
      </w:pPr>
      <w:r>
        <w:rPr>
          <w:i w:val="1"/>
          <w:iCs w:val="1"/>
        </w:rPr>
        <w:t xml:space="preserve">Diterbitkan pertama kali di bawah lisensi </w:t>
      </w:r>
      <w:hyperlink r:id="rId36" w:history="1">
        <w:r>
          <w:rPr>
            <w:i w:val="1"/>
            <w:iCs w:val="1"/>
          </w:rPr>
          <w:t xml:space="preserve">Creative Commons</w:t>
        </w:r>
      </w:hyperlink>
      <w:r>
        <w:rPr>
          <w:i w:val="1"/>
          <w:iCs w:val="1"/>
        </w:rPr>
        <w:t xml:space="preserve"> oleh </w:t>
      </w:r>
      <w:hyperlink r:id="rId37"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8" w:history="1">
        <w:r>
          <w:rPr/>
          <w:t xml:space="preserve">pertama kali</w:t>
        </w:r>
      </w:hyperlink>
      <w:r>
        <w:rPr/>
        <w:t xml:space="preserve"> dipublikasikan tanggal 30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budget.gov.au/" TargetMode="External"/><Relationship Id="rId9" Type="http://schemas.openxmlformats.org/officeDocument/2006/relationships/hyperlink" Target="https://www.liberal.org.au/2025/03/27/budget-in-reply" TargetMode="External"/><Relationship Id="rId10" Type="http://schemas.openxmlformats.org/officeDocument/2006/relationships/hyperlink" Target="https://www.pm.gov.au/media/tax-cuts-help-australians-cost-living" TargetMode="External"/><Relationship Id="rId11" Type="http://schemas.openxmlformats.org/officeDocument/2006/relationships/hyperlink" Target="https://alp.org.au/news/tax-reform-for-easier-faster-better-tax-returns/" TargetMode="External"/><Relationship Id="rId12" Type="http://schemas.openxmlformats.org/officeDocument/2006/relationships/hyperlink" Target="https://anthonyalbanese.com.au/media-centre/more-tax-relief-for-small-businesses-under-labor" TargetMode="External"/><Relationship Id="rId13" Type="http://schemas.openxmlformats.org/officeDocument/2006/relationships/hyperlink" Target="https://www.liberal.org.au/2025/04/13/coalition-to-deliver-targeted-cost-of-living-tax-relief" TargetMode="External"/><Relationship Id="rId14" Type="http://schemas.openxmlformats.org/officeDocument/2006/relationships/hyperlink" Target="https://www.liberal.org.au/2025/04/13/creating-a-new-generation-of-first-home-buyers-first-home-buyer-mortgage-deductibility" TargetMode="External"/><Relationship Id="rId15" Type="http://schemas.openxmlformats.org/officeDocument/2006/relationships/hyperlink" Target="https://greens.org.au/news/media-release/adam-bandt-announce-robin-hood-tax-plan-take-big-corporations-national-press" TargetMode="External"/><Relationship Id="rId16" Type="http://schemas.openxmlformats.org/officeDocument/2006/relationships/hyperlink" Target="https://greens.org.au/news/greens-will-tax-150-billionaires-part-revenue-plan-fund-dental-medicare-gp-free-and-other-cost" TargetMode="External"/><Relationship Id="rId17" Type="http://schemas.openxmlformats.org/officeDocument/2006/relationships/hyperlink" Target="https://greens.org.au/tax-big-corps-billionaires" TargetMode="External"/><Relationship Id="rId18" Type="http://schemas.openxmlformats.org/officeDocument/2006/relationships/hyperlink" Target="https://greens.org.au/news/media-release/fixing-property-investor-tax-breaks-greens-priority-minority-government-bandt" TargetMode="External"/><Relationship Id="rId19" Type="http://schemas.openxmlformats.org/officeDocument/2006/relationships/hyperlink" Target="https://drive.google.com/file/d/1xQHRYNLk2LGAKSQUPdhPnrNQyDyhXRLp/view" TargetMode="External"/><Relationship Id="rId20" Type="http://schemas.openxmlformats.org/officeDocument/2006/relationships/hyperlink" Target="https://www.sydney.edu.au/news-opinion/news/2024/07/12/why-real-wages-in-australia-have-fallen.html" TargetMode="External"/><Relationship Id="rId21" Type="http://schemas.openxmlformats.org/officeDocument/2006/relationships/hyperlink" Target="https://www.rba.gov.au/media-releases/2025/mr-25-10.html" TargetMode="External"/><Relationship Id="rId22" Type="http://schemas.openxmlformats.org/officeDocument/2006/relationships/hyperlink" Target="https://treasury.gov.au/sites/default/files/2023-09/p2023-447996-06-ch4.pdf" TargetMode="External"/><Relationship Id="rId23" Type="http://schemas.openxmlformats.org/officeDocument/2006/relationships/hyperlink" Target="https://www.taxinstitute.com.au/insights/case-for-change" TargetMode="External"/><Relationship Id="rId24" Type="http://schemas.openxmlformats.org/officeDocument/2006/relationships/hyperlink" Target="https://www.treasury.nsw.gov.au/sites/default/files/2020-11/NSW%20Treasury%20property%20tax%20proposal%20Consultation%20Paper.pdf" TargetMode="External"/><Relationship Id="rId25" Type="http://schemas.openxmlformats.org/officeDocument/2006/relationships/hyperlink" Target="https://treasury.gov.au/sites/default/files/2019-03/TWP2015-01.pdf" TargetMode="External"/><Relationship Id="rId26" Type="http://schemas.openxmlformats.org/officeDocument/2006/relationships/hyperlink" Target="https://grattan.edu.au/news/tax-reform-in-australia-an-impossible-dream/" TargetMode="External"/><Relationship Id="rId27" Type="http://schemas.openxmlformats.org/officeDocument/2006/relationships/hyperlink" Target="https://budget.gov.au/content/overview/download/budget-overview.pdf" TargetMode="External"/><Relationship Id="rId28" Type="http://schemas.openxmlformats.org/officeDocument/2006/relationships/hyperlink" Target="https://www.afr.com/policy/tax-and-super/tax-reform-is-what-the-election-should-be-about-20211206-p59fay" TargetMode="External"/><Relationship Id="rId29" Type="http://schemas.openxmlformats.org/officeDocument/2006/relationships/hyperlink" Target="https://www.afr.com/world/north-america/chalmers-rejects-imf-call-for-gst-increase-20230413-p5d010" TargetMode="External"/><Relationship Id="rId30" Type="http://schemas.openxmlformats.org/officeDocument/2006/relationships/hyperlink" Target="https://www.oecd.org/en/publications/consumption-tax-trends-2024_dcd4dd36-en/full-report.html" TargetMode="External"/><Relationship Id="rId31" Type="http://schemas.openxmlformats.org/officeDocument/2006/relationships/hyperlink" Target="https://treasury.gov.au/sites/default/files/2019-10/afts_final_report_part_2_vol_2_consolidated.pdf" TargetMode="External"/><Relationship Id="rId32" Type="http://schemas.openxmlformats.org/officeDocument/2006/relationships/hyperlink" Target="https://grattan.edu.au/wp-content/uploads/2016/09/876-A-better-super-system.pdf" TargetMode="External"/><Relationship Id="rId33" Type="http://schemas.openxmlformats.org/officeDocument/2006/relationships/hyperlink" Target="https://grattan.edu.au/wp-content/uploads/2019/08/920-Generation-Gap.pdf" TargetMode="External"/><Relationship Id="rId34" Type="http://schemas.openxmlformats.org/officeDocument/2006/relationships/hyperlink" Target="https://australiainstitute.org.au/wp-content/uploads/2024/08/P1689-Wealth-and-inequality-Updated.pdf" TargetMode="External"/><Relationship Id="rId35" Type="http://schemas.openxmlformats.org/officeDocument/2006/relationships/hyperlink" Target="https://web.archive.org/web/20241101190139/https:/taxpolicy.crawford.anu.edu.au/sites/default/files/uploads/taxstudies_crawford_anu_edu_au/2023-04/wealth_taxation_report_ttpi_final.pdf" TargetMode="External"/><Relationship Id="rId36" Type="http://schemas.openxmlformats.org/officeDocument/2006/relationships/hyperlink" Target="https://creativecommons.org/licenses/by/4.0/" TargetMode="External"/><Relationship Id="rId37" Type="http://schemas.openxmlformats.org/officeDocument/2006/relationships/hyperlink" Target="https://360info.org" TargetMode="External"/><Relationship Id="rId38" Type="http://schemas.openxmlformats.org/officeDocument/2006/relationships/hyperlink" Target="https://360info.org/why-its-time-to-think-big-on-tax-re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2026-02-25T15:49:50+00:00</dcterms:created>
  <dcterms:modified xsi:type="dcterms:W3CDTF">2026-02-25T15:49:50+00:00</dcterms:modified>
</cp:coreProperties>
</file>

<file path=docProps/custom.xml><?xml version="1.0" encoding="utf-8"?>
<Properties xmlns="http://schemas.openxmlformats.org/officeDocument/2006/custom-properties" xmlns:vt="http://schemas.openxmlformats.org/officeDocument/2006/docPropsVTypes"/>
</file>