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Menghambat upaya pelayanan kesehatan primer di India</w:t>
      </w:r>
    </w:p>
    <w:p>
      <w:pPr>
        <w:jc w:val="both"/>
      </w:pPr>
      <w:r>
        <w:rPr/>
        <w:t xml:space="preserve">Alih-alih memprioritaskan bidang-bidang utama seperti kesehatan perempuan dan anak-anak, pemerintah justru memilih untuk memperluas layanan kesehatan tingkat tersier.</w:t>
      </w:r>
    </w:p>
    <w:p>
      <w:pPr/>
      <w:r>
        <w:pict>
          <v:shape type="#_x0000_t75" stroked="f" style="width:600px; height:426.66666666667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Alih-alih memperkuat infrastruktur layanan kesehatan primer, Anggaran India 2026–2027 justru lebih berfokus pada perluasan layanan kesehatan tersier. Lisensi Data Terbuka Pemerintah – India (GODL), Wikimedia Commons.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Kaushalya Bajpayee  -  O.P. Jindal Global University, Sonipat </w:t>
            </w:r>
          </w:p>
        </w:tc>
        <w:tc>
          <w:tcPr>
            <w:tcW w:w="300" w:type="pct"/>
            <w:tcMar>
              <w:bottom w:w="0" w:type="dxa"/>
            </w:tcMar>
            <w:noWrap/>
          </w:tcPr>
          <w:p>
            <w:pPr/>
          </w:p>
        </w:tc>
        <w:tc>
          <w:tcPr>
            <w:tcW w:w="2350" w:type="pct"/>
            <w:tcMar>
              <w:bottom w:w="0" w:type="dxa"/>
            </w:tcMar>
            <w:noWrap/>
          </w:tcPr>
          <w:p>
            <w:pPr/>
            <w:r>
              <w:rPr/>
              <w:t xml:space="preserve"> Chandan Nandy  -  Commissioning Editor, 360info </w:t>
            </w:r>
          </w:p>
        </w:tc>
      </w:tr>
      <w:tr>
        <w:trPr/>
        <w:tc>
          <w:tcPr>
            <w:tcW w:w="2350" w:type="pct"/>
            <w:tcMar>
              <w:bottom w:w="0" w:type="dxa"/>
            </w:tcMar>
            <w:noWrap/>
          </w:tcPr>
          <w:p>
            <w:pPr/>
            <w:r>
              <w:rPr/>
              <w:t xml:space="preserve"> Avanindra Nath Thakur  -  O.P. Jindal Global University, Sonipat</w:t>
            </w: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Alih-alih memprioritaskan bidang-bidang utama seperti kesehatan perempuan dan anak, pemerintah justru memilih untuk memperluas layanan kesehatan tersier.</w:t>
      </w:r>
    </w:p>
    <w:p>
      <w:pPr/>
      <w:r>
        <w:rPr/>
        <w:t xml:space="preserve"> </w:t>
      </w:r>
    </w:p>
    <w:p>
      <w:pPr/>
      <w:r>
        <w:rPr/>
        <w:t xml:space="preserve">Anggaran India 2026–27 disampaikan pada 1 Februari dengan meriah dan digambarkan sebagai langkah transformatif menuju pertumbuhan inklusif. Menteri Keuangan Nirmala Sitharaman menegaskan kembali komitmen pemerintah untuk </w:t>
      </w:r>
      <w:hyperlink r:id="rId8" w:history="1">
        <w:r>
          <w:rPr/>
          <w:t xml:space="preserve">memastikan akses terhadap sumber daya</w:t>
        </w:r>
      </w:hyperlink>
      <w:r>
        <w:rPr/>
        <w:t xml:space="preserve"> dan peluang bagi setiap keluarga dan komunitas. </w:t>
      </w:r>
    </w:p>
    <w:p>
      <w:pPr/>
      <w:r>
        <w:rPr/>
        <w:t xml:space="preserve">Alokasi sektor kesehatan </w:t>
      </w:r>
      <w:hyperlink r:id="rId9" w:history="1">
        <w:r>
          <w:rPr/>
          <w:t xml:space="preserve">disoroti</w:t>
        </w:r>
      </w:hyperlink>
      <w:r>
        <w:rPr/>
        <w:t xml:space="preserve"> sebagai tanda perkembangan sosial. Namun, jika dibaca lebih cermat, terlihat adanya kesenjangan yang mengkhawatirkan: layanan kesehatan primer—yang merupakan fondasi dari setiap sistem kesehatan masyarakat—</w:t>
      </w:r>
      <w:hyperlink r:id="rId10" w:history="1">
        <w:r>
          <w:rPr/>
          <w:t xml:space="preserve">masih terabaikan</w:t>
        </w:r>
      </w:hyperlink>
      <w:r>
        <w:rPr/>
        <w:t xml:space="preserve">.</w:t>
      </w:r>
    </w:p>
    <w:p>
      <w:pPr/>
      <w:hyperlink r:id="rId11" w:history="1">
        <w:r>
          <w:rPr/>
          <w:t xml:space="preserve">Total alokasi</w:t>
        </w:r>
      </w:hyperlink>
      <w:r>
        <w:rPr/>
        <w:t xml:space="preserve"> untuk sektor kesehatan (termasuk penelitian kesehatan) naik dari ₹99.858 crore (alokasi anggaran) pada 2025–26 (direvisi menjadi ₹96.852,5 crore) menjadi ₹1.06.530 crore pada 2026–27. Meskipun ini tampak sebagai kenaikan nominal sebesar 6,7 persen, pertumbuhan riil—setelah </w:t>
      </w:r>
      <w:hyperlink r:id="rId12" w:history="1">
        <w:r>
          <w:rPr/>
          <w:t xml:space="preserve">disesuaikan dengan inflasi</w:t>
        </w:r>
      </w:hyperlink>
      <w:r>
        <w:rPr/>
        <w:t xml:space="preserve">—hanya sekitar 3 persen. Yang lebih penting, porsi sektor kesehatan dalam anggaran total telah sedikit menurun. </w:t>
      </w:r>
      <w:r>
        <w:rPr>
          <w:b w:val="1"/>
          <w:bCs w:val="1"/>
        </w:rPr>
        <w:t xml:space="preserve">Mengapa?</w:t>
      </w:r>
    </w:p>
    <w:p>
      <w:pPr/>
      <w:r>
        <w:rPr/>
        <w:t xml:space="preserve">Jika layanan kesehatan menjadi prioritas, mengapa porsinya stagnan? Dan yang lebih kritis, mengapa peningkatan pengeluaran </w:t>
      </w:r>
      <w:hyperlink r:id="rId13" w:history="1">
        <w:r>
          <w:rPr/>
          <w:t xml:space="preserve">gagal memperkuat</w:t>
        </w:r>
      </w:hyperlink>
      <w:r>
        <w:rPr/>
        <w:t xml:space="preserve"> tingkatan yang paling esensial—layanan kesehatan primer?</w:t>
      </w:r>
    </w:p>
    <w:p>
      <w:pPr/>
      <w:r>
        <w:rPr/>
        <w:t xml:space="preserve">Pelayanan kesehatan primer adalah titik kontak pertama bagi jutaan orang, terutama penduduk pedesaan dan berpenghasilan rendah. Pelayanan ini mencakup perawatan pencegahan, kesehatan ibu dan anak, imunisasi, dukungan gizi, dan deteksi dini penyakit. Namun, penekanan anggaran menceritakan kisah yang berbeda.</w:t>
      </w:r>
    </w:p>
    <w:p>
      <w:pPr/>
      <w:r>
        <w:rPr/>
        <w:t xml:space="preserve">Alih-alih memperkuat infrastruktur kesehatan primer, anggaran justru sangat condong ke perluasan perawatan tersier—pusat trauma, institut kanker, unit transplantasi, fasilitas bedah robotik, dan institusi medis yang didukung AI. Hal ini juga tercermin dari fakta bahwa alokasi anggaran total untuk skema yang disponsori pemerintah pusat (sebagian besar dialokasikan untuk layanan kesehatan primer) hanya menunjukkan </w:t>
      </w:r>
      <w:hyperlink r:id="rId14" w:history="1">
        <w:r>
          <w:rPr/>
          <w:t xml:space="preserve">perubahan</w:t>
        </w:r>
      </w:hyperlink>
      <w:r>
        <w:rPr/>
        <w:t xml:space="preserve"> yang </w:t>
      </w:r>
      <w:hyperlink r:id="rId14" w:history="1">
        <w:r>
          <w:rPr/>
          <w:t xml:space="preserve">sangat kecil</w:t>
        </w:r>
      </w:hyperlink>
      <w:r>
        <w:rPr/>
        <w:t xml:space="preserve"> (dari 53.041,46 crore pada tahun 2025-26 menjadi 53.305 crore dalam anggaran ini), bahkan dalam nilai nominal. Meskipun layanan kesehatan yang canggih secara teknologi penting, hal ini </w:t>
      </w:r>
      <w:hyperlink r:id="rId15" w:history="1">
        <w:r>
          <w:rPr/>
          <w:t xml:space="preserve">hanya</w:t>
        </w:r>
      </w:hyperlink>
      <w:r>
        <w:rPr/>
        <w:t xml:space="preserve"> menguntungkan </w:t>
      </w:r>
      <w:hyperlink r:id="rId15" w:history="1">
        <w:r>
          <w:rPr/>
          <w:t xml:space="preserve">sebagian kecil dari populasi.</w:t>
        </w:r>
      </w:hyperlink>
    </w:p>
    <w:p>
      <w:pPr>
        <w:pStyle w:val="Heading4"/>
      </w:pPr>
      <w:r>
        <w:rPr>
          <w:b w:val="1"/>
          <w:bCs w:val="1"/>
        </w:rPr>
        <w:t xml:space="preserve">Kurangnya dukungan</w:t>
      </w:r>
    </w:p>
    <w:p>
      <w:pPr/>
      <w:r>
        <w:rPr/>
        <w:t xml:space="preserve">Sebaliknya, pusat kesehatan primer (PHC), sub-pusat, dan pusat kesehatan masyarakat—yang berfungsi sebagai tulang punggung layanan kesehatan pedesaan—tidak menerima peningkatan yang sebanding.</w:t>
      </w:r>
    </w:p>
    <w:p>
      <w:pPr/>
      <w:r>
        <w:rPr/>
        <w:t xml:space="preserve">Pemerintah telah mengumumkan pelatihan tenaga kesehatan pendukung, yang mencakup teknisi dari berbagai kategori di 10 disiplin terpilih termasuk optometri, radiologi, anestesi, psikologi terapan, teknologi ruang operasi, kesehatan perilaku, dll., dengan target melatih </w:t>
      </w:r>
      <w:hyperlink r:id="rId16" w:history="1">
        <w:r>
          <w:rPr/>
          <w:t xml:space="preserve">100.000 personel</w:t>
        </w:r>
      </w:hyperlink>
      <w:r>
        <w:rPr/>
        <w:t xml:space="preserve"> selama lima tahun. Ini berarti sekitar 20.000 per tahun—kurang dari 700 per negara bagian setiap tahun, dengan asumsi distribusi yang merata. Dibandingkan dengan </w:t>
      </w:r>
      <w:hyperlink r:id="rId17" w:history="1">
        <w:r>
          <w:rPr/>
          <w:t xml:space="preserve">perkiraan WHO</w:t>
        </w:r>
      </w:hyperlink>
      <w:r>
        <w:rPr/>
        <w:t xml:space="preserve"> mengenai</w:t>
      </w:r>
      <w:hyperlink r:id="rId17" w:history="1">
        <w:r>
          <w:rPr/>
          <w:t xml:space="preserve"> kekurangan</w:t>
        </w:r>
      </w:hyperlink>
      <w:r>
        <w:rPr/>
        <w:t xml:space="preserve"> 6,5 juta tenaga kesehatan di India, angka ini sangatlah kecil.</w:t>
      </w:r>
    </w:p>
    <w:p>
      <w:pPr/>
      <w:r>
        <w:rPr/>
        <w:t xml:space="preserve">Yang lebih penting, inisiatif ini tidak mengatasi </w:t>
      </w:r>
      <w:hyperlink r:id="rId18" w:history="1">
        <w:r>
          <w:rPr/>
          <w:t xml:space="preserve">krisis</w:t>
        </w:r>
      </w:hyperlink>
      <w:r>
        <w:rPr/>
        <w:t xml:space="preserve"> </w:t>
      </w:r>
      <w:hyperlink r:id="rId18" w:history="1">
        <w:r>
          <w:rPr/>
          <w:t xml:space="preserve">mendesak</w:t>
        </w:r>
      </w:hyperlink>
      <w:r>
        <w:rPr/>
        <w:t xml:space="preserve"> di layanan garis depan, seperti </w:t>
      </w:r>
      <w:hyperlink r:id="rId18" w:history="1">
        <w:r>
          <w:rPr/>
          <w:t xml:space="preserve">kekurangan dokter</w:t>
        </w:r>
      </w:hyperlink>
      <w:r>
        <w:rPr/>
        <w:t xml:space="preserve"> dan perawat di Pusat Kesehatan Primer (PHC), </w:t>
      </w:r>
      <w:hyperlink r:id="rId19" w:history="1">
        <w:r>
          <w:rPr/>
          <w:t xml:space="preserve">beban kerja yang berlebihan</w:t>
        </w:r>
      </w:hyperlink>
      <w:r>
        <w:rPr/>
        <w:t xml:space="preserve"> </w:t>
      </w:r>
      <w:hyperlink r:id="rId19" w:history="1">
        <w:r>
          <w:rPr/>
          <w:t xml:space="preserve">bagi</w:t>
        </w:r>
      </w:hyperlink>
      <w:r>
        <w:rPr/>
        <w:t xml:space="preserve"> ASHA (Aktivis Kesehatan Sosial Terakreditasi) dan pekerja </w:t>
      </w:r>
      <w:r>
        <w:rPr>
          <w:i w:val="1"/>
          <w:iCs w:val="1"/>
        </w:rPr>
        <w:t xml:space="preserve">anganwadi</w:t>
      </w:r>
      <w:r>
        <w:rPr/>
        <w:t xml:space="preserve"> atau “tempat perlindungan halaman” di bawah Program Layanan Pengembangan Anak Terpadu, infrastruktur layanan kesehatan ibu dan anak </w:t>
      </w:r>
      <w:hyperlink r:id="rId20" w:history="1">
        <w:r>
          <w:rPr/>
          <w:t xml:space="preserve">yang tidak memadai</w:t>
        </w:r>
      </w:hyperlink>
      <w:r>
        <w:rPr/>
        <w:t xml:space="preserve">, serta </w:t>
      </w:r>
      <w:hyperlink r:id="rId21" w:history="1">
        <w:r>
          <w:rPr/>
          <w:t xml:space="preserve">akses yang buruk di pedesaan</w:t>
        </w:r>
      </w:hyperlink>
      <w:r>
        <w:rPr/>
        <w:t xml:space="preserve"> terhadap obat-obatan esensial.</w:t>
      </w:r>
    </w:p>
    <w:p>
      <w:pPr/>
      <w:r>
        <w:rPr/>
        <w:t xml:space="preserve">Tanpa memperkuat sistem primer ini, penambahan tenaga profesional terkait—terutama melalui institusi publik-swasta—berisiko menyebarkan tanggung jawab daripada menyelesaikan kesenjangan inti.</w:t>
      </w:r>
    </w:p>
    <w:p>
      <w:pPr/>
      <w:r>
        <w:rPr/>
        <w:t xml:space="preserve">Tanda yang paling mengkhawatirkan terletak pada </w:t>
      </w:r>
      <w:hyperlink r:id="rId14" w:history="1">
        <w:r>
          <w:rPr/>
          <w:t xml:space="preserve">pengurangan alokasi</w:t>
        </w:r>
      </w:hyperlink>
      <w:r>
        <w:rPr/>
        <w:t xml:space="preserve">, secara riil, untuk program-program kesehatan masyarakat utama seperti </w:t>
      </w:r>
      <w:hyperlink r:id="rId22" w:history="1">
        <w:r>
          <w:rPr/>
          <w:t xml:space="preserve">Misi Kesehatan Nasional</w:t>
        </w:r>
      </w:hyperlink>
      <w:r>
        <w:rPr/>
        <w:t xml:space="preserve"> (dari US$ 4,27 miliar atau Rs 38.889,34 crore dalam perkiraan anggaran 2024-25 menjadi US$ 4,5 miliar atau Rs 39.390 crore dalam anggaran ini, yang berarti kenaikan tahunan hanya sebesar 0,5 persen secara nominal).</w:t>
      </w:r>
    </w:p>
    <w:p>
      <w:pPr/>
      <w:r>
        <w:rPr/>
        <w:t xml:space="preserve">Penurunan ini bahkan terjadi secara nominal untuk skema kesejahteraan keluarga (dari US$ 71 juta atau Rs 645,48 crore dalam perkiraan revisi 2025-26 menjadi US$ 70,7 juta atau Rs 643,46 crore) dan Pradhan Mantri Swasthya Suraksha Yojana (dari alokasi anggaran 2025-26 sebesar US$ 243 juta atau Rs 2.200 crore menjadi US$ 221 juta atau Rs 2.005 crore), yang diperkenalkan pada tahun 2003 untuk </w:t>
      </w:r>
      <w:hyperlink r:id="rId23" w:history="1">
        <w:r>
          <w:rPr/>
          <w:t xml:space="preserve">mengatasi ketidakseimbangan regional</w:t>
        </w:r>
      </w:hyperlink>
      <w:r>
        <w:rPr/>
        <w:t xml:space="preserve"> dalam ketersediaan layanan kesehatan tersier yang terjangkau serta memperkuat fasilitas pendidikan kedokteran berkualitas.</w:t>
      </w:r>
    </w:p>
    <w:p>
      <w:pPr/>
      <w:r>
        <w:rPr/>
        <w:t xml:space="preserve">Program-program ini merupakan tulang punggung jaringan layanan kesehatan primer India. Pemotongan anggaran pada program-program unggulan ini </w:t>
      </w:r>
      <w:hyperlink r:id="rId24" w:history="1">
        <w:r>
          <w:rPr/>
          <w:t xml:space="preserve">berdampak langsung pada</w:t>
        </w:r>
      </w:hyperlink>
      <w:r>
        <w:rPr/>
        <w:t xml:space="preserve"> kampanye imunisasi, layanan kesehatan ibu, pemantauan penyakit, dan jangkauan layanan kesehatan di pedesaan.</w:t>
      </w:r>
    </w:p>
    <w:p>
      <w:pPr/>
      <w:r>
        <w:rPr/>
        <w:t xml:space="preserve">Meskipun </w:t>
      </w:r>
      <w:hyperlink r:id="rId25" w:history="1">
        <w:r>
          <w:rPr/>
          <w:t xml:space="preserve">pembebasan bea masuk</w:t>
        </w:r>
      </w:hyperlink>
      <w:r>
        <w:rPr/>
        <w:t xml:space="preserve"> atas 17 obat penyelamat nyawa disambut baik, masalah yang lebih luas terkait keterjangkauan obat-obatan tetap belum terselesaikan karena di India hampir </w:t>
      </w:r>
      <w:hyperlink r:id="rId26" w:history="1">
        <w:r>
          <w:rPr/>
          <w:t xml:space="preserve">70 persen</w:t>
        </w:r>
      </w:hyperlink>
      <w:r>
        <w:rPr/>
        <w:t xml:space="preserve"> pengeluaran pribadi dilaporkan berasal dari pembelian obat-obatan. Layanan kesehatan primer tidak hanya bergantung pada infrastruktur, tetapi juga pada obat-obatan esensial yang mudah diakses dan terjangkau. Anggaran tetap bungkam mengenai hal ini.</w:t>
      </w:r>
    </w:p>
    <w:p>
      <w:pPr>
        <w:pStyle w:val="Heading4"/>
      </w:pPr>
      <w:r>
        <w:rPr>
          <w:b w:val="1"/>
          <w:bCs w:val="1"/>
        </w:rPr>
        <w:t xml:space="preserve">Mendukung sektor swasta</w:t>
      </w:r>
    </w:p>
    <w:p>
      <w:pPr/>
      <w:r>
        <w:rPr/>
        <w:t xml:space="preserve">Anggaran tersebut menandakan </w:t>
      </w:r>
      <w:hyperlink r:id="rId27" w:history="1">
        <w:r>
          <w:rPr/>
          <w:t xml:space="preserve">dorongan</w:t>
        </w:r>
      </w:hyperlink>
      <w:r>
        <w:rPr/>
        <w:t xml:space="preserve"> </w:t>
      </w:r>
      <w:hyperlink r:id="rId27" w:history="1">
        <w:r>
          <w:rPr/>
          <w:t xml:space="preserve">berkelanjutan</w:t>
        </w:r>
      </w:hyperlink>
      <w:r>
        <w:rPr/>
        <w:t xml:space="preserve"> terhadap partisipasi sektor swasta—melalui promosi biofarmasi, pusat wisata medis, dan institut Ayurveda (pengobatan tradisional) baru. </w:t>
      </w:r>
    </w:p>
    <w:p>
      <w:pPr/>
      <w:r>
        <w:rPr/>
        <w:t xml:space="preserve">Meskipun pariwisata medis dan integrasi </w:t>
      </w:r>
      <w:hyperlink r:id="rId28" w:history="1">
        <w:r>
          <w:rPr/>
          <w:t xml:space="preserve">AYUSH</w:t>
        </w:r>
      </w:hyperlink>
      <w:r>
        <w:rPr/>
        <w:t xml:space="preserve"> (Ayurveda, Yoga dan Naturopati, Unani, Siddha, dan Homeopati) dapat meningkatkan daya tarik internasional, hal tersebut tidak banyak membantu kebutuhan perawatan kesehatan sehari-hari masyarakat miskin. </w:t>
      </w:r>
    </w:p>
    <w:p>
      <w:pPr/>
      <w:r>
        <w:rPr/>
        <w:t xml:space="preserve">Lima </w:t>
      </w:r>
      <w:hyperlink r:id="rId29" w:history="1">
        <w:r>
          <w:rPr/>
          <w:t xml:space="preserve">pusat pariwisata medis</w:t>
        </w:r>
      </w:hyperlink>
      <w:r>
        <w:rPr/>
        <w:t xml:space="preserve"> yang diusulkan, yang terintegrasi dengan pusat AYUSH, kemungkinan besar tidak akan melayani populasi rentan. Sebaliknya, hal ini mungkin semakin mengalihkan sumber daya publik ke arah layanan kesehatan yang berorientasi pasar.</w:t>
      </w:r>
    </w:p>
    <w:p>
      <w:pPr/>
      <w:r>
        <w:rPr/>
        <w:t xml:space="preserve">Demikian pula, inisiatif digital seperti Misi Digital Ayushman Bharat </w:t>
      </w:r>
      <w:hyperlink r:id="rId30" w:history="1">
        <w:r>
          <w:rPr/>
          <w:t xml:space="preserve">tetap tidak dapat</w:t>
        </w:r>
      </w:hyperlink>
      <w:r>
        <w:rPr/>
        <w:t xml:space="preserve"> </w:t>
      </w:r>
      <w:hyperlink r:id="rId30" w:history="1">
        <w:r>
          <w:rPr/>
          <w:t xml:space="preserve">diakses</w:t>
        </w:r>
      </w:hyperlink>
      <w:r>
        <w:rPr/>
        <w:t xml:space="preserve"> oleh sebagian besar penduduk, terutama di daerah pedesaan di mana kesenjangan literasi digital dan infrastruktur masih ada. Telemedicine dan konsultasi daring </w:t>
      </w:r>
      <w:hyperlink r:id="rId31" w:history="1">
        <w:r>
          <w:rPr/>
          <w:t xml:space="preserve">tidak dapat menggantikan</w:t>
        </w:r>
      </w:hyperlink>
      <w:r>
        <w:rPr/>
        <w:t xml:space="preserve"> pusat kesehatan primer yang berfungsi dan dikelola oleh tenaga profesional terlatih.</w:t>
      </w:r>
    </w:p>
    <w:p>
      <w:pPr/>
      <w:r>
        <w:rPr/>
        <w:t xml:space="preserve">India diperkirakan memiliki lebih dari </w:t>
      </w:r>
      <w:hyperlink r:id="rId32" w:history="1">
        <w:r>
          <w:rPr/>
          <w:t xml:space="preserve">66 persen</w:t>
        </w:r>
      </w:hyperlink>
      <w:r>
        <w:rPr/>
        <w:t xml:space="preserve"> populasi berusia 35 tahun ke bawah. Dividen demografis India sangat bergantung pada kesehatan perempuan dan kesejahteraan pemuda. Dengan perempuan berada pada masa subur puncaknya di kelompok usia ini, investasi dalam kesehatan ibu sangat krusial untuk memanfaatkan manfaat dividen demografis. </w:t>
      </w:r>
    </w:p>
    <w:p>
      <w:pPr/>
      <w:r>
        <w:rPr/>
        <w:t xml:space="preserve">Selain itu, tingginya angka kematian ibu dan anak pada remaja putri juga dapat diatasi melalui investasi pada generasi muda untuk memperoleh “dividen </w:t>
      </w:r>
      <w:hyperlink r:id="rId33" w:history="1">
        <w:r>
          <w:rPr/>
          <w:t xml:space="preserve">tiga </w:t>
        </w:r>
      </w:hyperlink>
      <w:r>
        <w:rPr/>
        <w:t xml:space="preserve">kali </w:t>
      </w:r>
      <w:hyperlink r:id="rId33" w:history="1">
        <w:r>
          <w:rPr/>
          <w:t xml:space="preserve">lipat”</w:t>
        </w:r>
      </w:hyperlink>
      <w:r>
        <w:rPr/>
        <w:t xml:space="preserve"> dengan meningkatkan kesehatan saat ini, memperkuatnya sepanjang siklus hidup, dan berkontribusi pada kesehatan generasi mendatang. Namun, anggaran tersebut secara mencolok tidak menyinggung perluasan fasilitas kesehatan ibu, peningkatan program gizi anak dan imunisasi, serta penguatan layanan kesehatan reproduksi. </w:t>
      </w:r>
    </w:p>
    <w:p>
      <w:pPr/>
      <w:r>
        <w:rPr/>
        <w:t xml:space="preserve">Pelayanan kesehatan primer memainkan </w:t>
      </w:r>
      <w:hyperlink r:id="rId34" w:history="1">
        <w:r>
          <w:rPr/>
          <w:t xml:space="preserve">peran</w:t>
        </w:r>
      </w:hyperlink>
      <w:r>
        <w:rPr/>
        <w:t xml:space="preserve"> </w:t>
      </w:r>
      <w:hyperlink r:id="rId34" w:history="1">
        <w:r>
          <w:rPr/>
          <w:t xml:space="preserve">sentral</w:t>
        </w:r>
      </w:hyperlink>
      <w:r>
        <w:rPr/>
        <w:t xml:space="preserve"> dalam mengurangi angka kematian bayi, angka kematian ibu, dan malnutrisi. Mengabaikannya akan merusak pembangunan ekonomi dan sosial jangka panjang.</w:t>
      </w:r>
    </w:p>
    <w:p>
      <w:pPr/>
      <w:r>
        <w:rPr/>
        <w:t xml:space="preserve">Total belanja kesehatan publik India sebagai proporsi dari PDB tetap rendah dibandingkan dengan negara-negara maju maupun banyak negara berkembang. Alih-alih bergerak menuju target </w:t>
      </w:r>
      <w:hyperlink r:id="rId35" w:history="1">
        <w:r>
          <w:rPr/>
          <w:t xml:space="preserve">2,5 persen</w:t>
        </w:r>
      </w:hyperlink>
      <w:r>
        <w:rPr/>
        <w:t xml:space="preserve"> dari PDB yang </w:t>
      </w:r>
      <w:hyperlink r:id="rId35" w:history="1">
        <w:r>
          <w:rPr/>
          <w:t xml:space="preserve">telah lama dijanjikan</w:t>
        </w:r>
      </w:hyperlink>
      <w:r>
        <w:rPr/>
        <w:t xml:space="preserve">, alokasi tersebut justru menandakan stagnasi.</w:t>
      </w:r>
    </w:p>
    <w:p>
      <w:pPr/>
      <w:r>
        <w:rPr/>
        <w:t xml:space="preserve">Sistem kesehatan tidak dapat berkelanjutan jika fondasinya lemah. Berinvestasi pada rumah sakit tersier sementara pusat kesehatan primer berjuang dengan kekurangan tenaga kerja, kelangkaan obat, dan infrastruktur yang rusak mencerminkan prioritas yang salah.</w:t>
      </w:r>
    </w:p>
    <w:p>
      <w:pPr/>
      <w:r>
        <w:rPr/>
        <w:t xml:space="preserve">Anggaran 2026–27 </w:t>
      </w:r>
      <w:hyperlink r:id="rId36" w:history="1">
        <w:r>
          <w:rPr/>
          <w:t xml:space="preserve">meningkatkan alokasi</w:t>
        </w:r>
      </w:hyperlink>
      <w:r>
        <w:rPr/>
        <w:t xml:space="preserve"> ke sektor-sektor layanan kesehatan berteknologi tinggi yang terlihat, sementara layanan kesehatan primer tetap kekurangan dana secara struktural. Anggaran ini mendorong partisipasi swasta dan perawatan khusus, namun tidak cukup menangani layanan kesehatan preventif, berbasis komunitas, dan di pedesaan.</w:t>
      </w:r>
    </w:p>
    <w:p>
      <w:pPr/>
      <w:r>
        <w:rPr/>
        <w:t xml:space="preserve">Pelayanan kesehatan primer bukanlah masalah pinggiran—ia adalah landasan kesetaraan kesehatan masyarakat. Tanpa investasi substansial pada tingkatan dasar ini, janji-janji tentang pelayanan kesehatan inklusif tetap hanya retorika. Kebenaran yang tidak nyaman adalah bahwa sistem kesehatan tidak dapat benar-benar melayani masyarakat jika mengabaikan atau menyimpang dari garis depan pelayanannya.</w:t>
      </w:r>
    </w:p>
    <w:p>
      <w:pPr/>
      <w:r>
        <w:rPr>
          <w:b w:val="1"/>
          <w:bCs w:val="1"/>
          <w:i w:val="1"/>
          <w:iCs w:val="1"/>
        </w:rPr>
        <w:t xml:space="preserve">Kaushalya Bajpayee</w:t>
      </w:r>
      <w:r>
        <w:rPr>
          <w:i w:val="1"/>
          <w:iCs w:val="1"/>
        </w:rPr>
        <w:t xml:space="preserve"> adalah Associate Professor di Jindal Global Law School, O.P. Jindal Global University, Sonipat, Haryana</w:t>
      </w:r>
      <w:r>
        <w:rPr/>
        <w:t xml:space="preserve">.</w:t>
      </w:r>
    </w:p>
    <w:p>
      <w:pPr/>
      <w:r>
        <w:rPr>
          <w:b w:val="1"/>
          <w:bCs w:val="1"/>
          <w:i w:val="1"/>
          <w:iCs w:val="1"/>
        </w:rPr>
        <w:t xml:space="preserve">Avanindra Nath Thakur</w:t>
      </w:r>
      <w:r>
        <w:rPr>
          <w:i w:val="1"/>
          <w:iCs w:val="1"/>
        </w:rPr>
        <w:t xml:space="preserve"> adalah Profesor di Jindal School of Government and Public Policy, O.P. Jindal Global University, Sonipat, Haryana</w:t>
      </w:r>
      <w:r>
        <w:rPr/>
        <w:t xml:space="preserve">.</w:t>
      </w:r>
    </w:p>
    <w:p>
      <w:pPr/>
      <w:r>
        <w:rPr>
          <w:i w:val="1"/>
          <w:iCs w:val="1"/>
        </w:rPr>
        <w:t xml:space="preserve">Awalnya diterbitkan di bawah lisensi </w:t>
      </w:r>
      <w:hyperlink r:id="rId37" w:history="1">
        <w:r>
          <w:rPr>
            <w:i w:val="1"/>
            <w:iCs w:val="1"/>
          </w:rPr>
          <w:t xml:space="preserve">Creative Commons</w:t>
        </w:r>
      </w:hyperlink>
      <w:r>
        <w:rPr>
          <w:i w:val="1"/>
          <w:iCs w:val="1"/>
        </w:rPr>
        <w:t xml:space="preserve"> oleh </w:t>
      </w:r>
      <w:hyperlink r:id="rId38" w:history="1">
        <w:r>
          <w:rPr>
            <w:i w:val="1"/>
            <w:iCs w:val="1"/>
          </w:rPr>
          <w:t xml:space="preserve">360info</w:t>
        </w:r>
      </w:hyperlink>
      <w:r>
        <w:rPr>
          <w:i w:val="1"/>
          <w:iCs w:val="1"/>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9" w:history="1">
        <w:r>
          <w:rPr/>
          <w:t xml:space="preserve">pertama kali</w:t>
        </w:r>
      </w:hyperlink>
      <w:r>
        <w:rPr/>
        <w:t xml:space="preserve"> dipublikasikan tanggal 27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ib.gov.in/PressReleseDetailm.aspx?PRID=2221452&amp;reg=6&amp;lang=1" TargetMode="External"/><Relationship Id="rId9" Type="http://schemas.openxmlformats.org/officeDocument/2006/relationships/hyperlink" Target="https://www.niti.gov.in/sites/default/files/2023-02/InvestmentOpportunities_HealthcareSector.pdf" TargetMode="External"/><Relationship Id="rId10" Type="http://schemas.openxmlformats.org/officeDocument/2006/relationships/hyperlink" Target="https://www.thehindubusinessline.com/opinion/health-sector-continues-to-remain-neglected/article70579969.ece" TargetMode="External"/><Relationship Id="rId11" Type="http://schemas.openxmlformats.org/officeDocument/2006/relationships/hyperlink" Target="https://www.indiabudget.gov.in/doc/eb/stat3a.pdf" TargetMode="External"/><Relationship Id="rId12" Type="http://schemas.openxmlformats.org/officeDocument/2006/relationships/hyperlink" Target="https://www.mospi.gov.in/sites/default/files/press_release/CPI_PR_12Mar25.pdf" TargetMode="External"/><Relationship Id="rId13" Type="http://schemas.openxmlformats.org/officeDocument/2006/relationships/hyperlink" Target="https://www.nipfp.org.in/publication-index-page/blog-index-page/reflecting-on-union-budget-202627-are-we-losing-sight-of-the-gatekeeping-role-of-primary-and-preventive-healthcare/?year=2026&amp;month=2&amp;day=20&amp;slug=reflecting-on-union-budget-202627-are-we-losing-sight-of-the-gatekeeping-role-of-primary-and-preventive-healthcare" TargetMode="External"/><Relationship Id="rId14" Type="http://schemas.openxmlformats.org/officeDocument/2006/relationships/hyperlink" Target="https://www.indiabudget.gov.in/doc/eb/allsbe.pdf" TargetMode="External"/><Relationship Id="rId15" Type="http://schemas.openxmlformats.org/officeDocument/2006/relationships/hyperlink" Target="https://pmc.ncbi.nlm.nih.gov/articles/PMC9212836/#:~:text=In%20the%20context%20of%20health,and%20offers%20some%20key%20considerations." TargetMode="External"/><Relationship Id="rId16" Type="http://schemas.openxmlformats.org/officeDocument/2006/relationships/hyperlink" Target="https://www.pib.gov.in/PressReleasePage.aspx?PRID=2221616&amp;reg=3&amp;lang=2" TargetMode="External"/><Relationship Id="rId17" Type="http://schemas.openxmlformats.org/officeDocument/2006/relationships/hyperlink" Target="https://journals.lww.com/cmii/fulltext/2025/10000/india_s_allied_health_crisis___a_call_for_unified.20.aspx#:~:text=faced%20systemic%20challenges.-,Severe%20workforce%20shortage,%2C%20representing%20a%2095%25%20deficit." TargetMode="External"/><Relationship Id="rId18" Type="http://schemas.openxmlformats.org/officeDocument/2006/relationships/hyperlink" Target="https://journals.lww.com/joim/fulltext/2025/10000/beyond_numbers__enhancing_healthcare_quality_in.3.aspx" TargetMode="External"/><Relationship Id="rId19" Type="http://schemas.openxmlformats.org/officeDocument/2006/relationships/hyperlink" Target="https://www.thehindu.com/sci-tech/health/the-women-of-asha-overworked-underpaid-and-on-the-edge-of-breakdown/article67866061.ece" TargetMode="External"/><Relationship Id="rId20" Type="http://schemas.openxmlformats.org/officeDocument/2006/relationships/hyperlink" Target="https://link.springer.com/article/10.1186/s12889-024-20714-3" TargetMode="External"/><Relationship Id="rId21" Type="http://schemas.openxmlformats.org/officeDocument/2006/relationships/hyperlink" Target="https://pmc.ncbi.nlm.nih.gov/articles/PMC11174260/" TargetMode="External"/><Relationship Id="rId22" Type="http://schemas.openxmlformats.org/officeDocument/2006/relationships/hyperlink" Target="https://mohfw.gov.in/?q=hi/node/8380" TargetMode="External"/><Relationship Id="rId23" Type="http://schemas.openxmlformats.org/officeDocument/2006/relationships/hyperlink" Target="https://pmssy.mohfw.gov.in/index1.php?lang=1&amp;level=1&amp;sublinkid=81&amp;lid=127" TargetMode="External"/><Relationship Id="rId24" Type="http://schemas.openxmlformats.org/officeDocument/2006/relationships/hyperlink" Target="https://link.springer.com/article/10.1057/s41271-025-00558-w#:~:text=Prior%20to%20the%20intervention%20year,deaths%20per%201000%20live%20births)." TargetMode="External"/><Relationship Id="rId25" Type="http://schemas.openxmlformats.org/officeDocument/2006/relationships/hyperlink" Target="https://pharma.economictimes.indiatimes.com/news/policy-and-regulations/budget-202627-govt-lifts-custom-duty-on-17-drugs-to-curb-price-burden-for-cancer-patients/127842011#:~:text=Budget%202026:27:%20Govt%20lifts,as%20breast%20and%20blood%20cancers." TargetMode="External"/><Relationship Id="rId26" Type="http://schemas.openxmlformats.org/officeDocument/2006/relationships/hyperlink" Target="https://academic.oup.com/heapol/article/37/9/1116/6648021?login=true" TargetMode="External"/><Relationship Id="rId27" Type="http://schemas.openxmlformats.org/officeDocument/2006/relationships/hyperlink" Target="https://www.pib.gov.in/PressNoteDetails.aspx?NoteId=157147&amp;ModuleId=3&amp;reg=3&amp;lang=1" TargetMode="External"/><Relationship Id="rId28" Type="http://schemas.openxmlformats.org/officeDocument/2006/relationships/hyperlink" Target="https://ayush.gov.in/#!/" TargetMode="External"/><Relationship Id="rId29" Type="http://schemas.openxmlformats.org/officeDocument/2006/relationships/hyperlink" Target="https://www.pib.gov.in/PressReleasePage.aspx?PRID=2221403&amp;reg=3&amp;lang=1#:~:text=Union%20Minister%20for%20Finance%20and,professionals%20including%20doctors%20and%20AHPs.%E2%80%9D" TargetMode="External"/><Relationship Id="rId30" Type="http://schemas.openxmlformats.org/officeDocument/2006/relationships/hyperlink" Target="https://www.mohfw.gov.in/?q=en/pressrelease-209#:~:text=As%20of%206th%20February%202025,being%20covered%2C%20including%20rural%20areas." TargetMode="External"/><Relationship Id="rId31" Type="http://schemas.openxmlformats.org/officeDocument/2006/relationships/hyperlink" Target="https://pmc.ncbi.nlm.nih.gov/articles/PMC8590973/#:~:text=Using%20health%20apps%20for%20scheduled,home%2C%20especially%20during%20a%20pandemic." TargetMode="External"/><Relationship Id="rId32" Type="http://schemas.openxmlformats.org/officeDocument/2006/relationships/hyperlink" Target="https://www.gisreportsonline.com/r/indias-demographic-dividend/" TargetMode="External"/><Relationship Id="rId33" Type="http://schemas.openxmlformats.org/officeDocument/2006/relationships/hyperlink" Target="https://mospi.gov.in/sites/default/files/publication_reports/Youth_in_India_2022.pdf" TargetMode="External"/><Relationship Id="rId34" Type="http://schemas.openxmlformats.org/officeDocument/2006/relationships/hyperlink" Target="https://oxfordre.com/publichealth/display/10.1093/acrefore/9780190632366.001.0001/acrefore-9780190632366-e-335" TargetMode="External"/><Relationship Id="rId35" Type="http://schemas.openxmlformats.org/officeDocument/2006/relationships/hyperlink" Target="https://nhsrcindia.org/sites/default/files/2021-07/National%20Health%20Policy%202017%20%28English%29%20.pdf" TargetMode="External"/><Relationship Id="rId36" Type="http://schemas.openxmlformats.org/officeDocument/2006/relationships/hyperlink" Target="https://prsindia.org/files/budget/budget_parliament/2026/DfG_Analysis_2026-27-Health.pdf" TargetMode="External"/><Relationship Id="rId37" Type="http://schemas.openxmlformats.org/officeDocument/2006/relationships/hyperlink" Target="https://creativecommons.org/licenses/by/4.0/" TargetMode="External"/><Relationship Id="rId38" Type="http://schemas.openxmlformats.org/officeDocument/2006/relationships/hyperlink" Target="https://360info.org/" TargetMode="External"/><Relationship Id="rId39" Type="http://schemas.openxmlformats.org/officeDocument/2006/relationships/hyperlink" Target="https://360info.org/undermining-indias-primary-healthcare-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2026-04-09T02:40:55+00:00</dcterms:created>
  <dcterms:modified xsi:type="dcterms:W3CDTF">2026-04-09T02:40:55+00:00</dcterms:modified>
</cp:coreProperties>
</file>

<file path=docProps/custom.xml><?xml version="1.0" encoding="utf-8"?>
<Properties xmlns="http://schemas.openxmlformats.org/officeDocument/2006/custom-properties" xmlns:vt="http://schemas.openxmlformats.org/officeDocument/2006/docPropsVTypes"/>
</file>